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4647" w:type="dxa"/>
        <w:tblInd w:w="88" w:type="dxa"/>
        <w:tblLayout w:type="fixed"/>
        <w:tblCellMar>
          <w:top w:w="0" w:type="dxa"/>
          <w:left w:w="108" w:type="dxa"/>
          <w:bottom w:w="0" w:type="dxa"/>
          <w:right w:w="108" w:type="dxa"/>
        </w:tblCellMar>
      </w:tblPr>
      <w:tblGrid>
        <w:gridCol w:w="14"/>
        <w:gridCol w:w="3298"/>
        <w:gridCol w:w="2067"/>
        <w:gridCol w:w="826"/>
        <w:gridCol w:w="11"/>
        <w:gridCol w:w="205"/>
        <w:gridCol w:w="2651"/>
        <w:gridCol w:w="1707"/>
        <w:gridCol w:w="3868"/>
      </w:tblGrid>
      <w:tr>
        <w:tblPrEx>
          <w:tblCellMar>
            <w:top w:w="0" w:type="dxa"/>
            <w:left w:w="108" w:type="dxa"/>
            <w:bottom w:w="0" w:type="dxa"/>
            <w:right w:w="108" w:type="dxa"/>
          </w:tblCellMar>
        </w:tblPrEx>
        <w:trPr>
          <w:trHeight w:val="245" w:hRule="atLeast"/>
        </w:trPr>
        <w:tc>
          <w:tcPr>
            <w:tcW w:w="3312" w:type="dxa"/>
            <w:gridSpan w:val="2"/>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40005</wp:posOffset>
                  </wp:positionH>
                  <wp:positionV relativeFrom="paragraph">
                    <wp:posOffset>83820</wp:posOffset>
                  </wp:positionV>
                  <wp:extent cx="1591310" cy="1202690"/>
                  <wp:effectExtent l="0" t="0" r="8890" b="16510"/>
                  <wp:wrapNone/>
                  <wp:docPr id="5" name="Picture 2" descr="LOGO F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GO FKIP"/>
                          <pic:cNvPicPr>
                            <a:picLocks noChangeAspect="1" noChangeArrowheads="1"/>
                          </pic:cNvPicPr>
                        </pic:nvPicPr>
                        <pic:blipFill>
                          <a:blip r:embed="rId6"/>
                          <a:srcRect/>
                          <a:stretch>
                            <a:fillRect/>
                          </a:stretch>
                        </pic:blipFill>
                        <pic:spPr>
                          <a:xfrm>
                            <a:off x="0" y="0"/>
                            <a:ext cx="1591310" cy="1202690"/>
                          </a:xfrm>
                          <a:prstGeom prst="rect">
                            <a:avLst/>
                          </a:prstGeom>
                          <a:noFill/>
                          <a:ln w="9525">
                            <a:noFill/>
                            <a:miter lim="800000"/>
                            <a:headEnd/>
                            <a:tailEnd/>
                          </a:ln>
                        </pic:spPr>
                      </pic:pic>
                    </a:graphicData>
                  </a:graphic>
                </wp:anchor>
              </w:drawing>
            </w:r>
          </w:p>
        </w:tc>
        <w:tc>
          <w:tcPr>
            <w:tcW w:w="11335" w:type="dxa"/>
            <w:gridSpan w:val="7"/>
            <w:tcBorders>
              <w:top w:val="single" w:color="auto" w:sz="4" w:space="0"/>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p>
          <w:p>
            <w:pPr>
              <w:spacing w:after="0" w:line="240" w:lineRule="auto"/>
              <w:jc w:val="center"/>
              <w:rPr>
                <w:rFonts w:ascii="Times New Roman" w:hAnsi="Times New Roman" w:eastAsia="Times New Roman" w:cs="Times New Roman"/>
                <w:b/>
                <w:bCs/>
                <w:color w:val="000000"/>
              </w:rPr>
            </w:pPr>
          </w:p>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PROGRAM STUDI PENDIDIKAN BAHASA INGGRIS</w:t>
            </w:r>
          </w:p>
        </w:tc>
      </w:tr>
      <w:tr>
        <w:tblPrEx>
          <w:tblCellMar>
            <w:top w:w="0" w:type="dxa"/>
            <w:left w:w="108" w:type="dxa"/>
            <w:bottom w:w="0" w:type="dxa"/>
            <w:right w:w="108" w:type="dxa"/>
          </w:tblCellMar>
        </w:tblPrEx>
        <w:trPr>
          <w:trHeight w:val="327" w:hRule="atLeast"/>
        </w:trPr>
        <w:tc>
          <w:tcPr>
            <w:tcW w:w="3312"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11335" w:type="dxa"/>
            <w:gridSpan w:val="7"/>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FAKULTAS KEGURUAN DAN ILMU PENDIDIKAN</w:t>
            </w:r>
          </w:p>
        </w:tc>
      </w:tr>
      <w:tr>
        <w:tblPrEx>
          <w:tblCellMar>
            <w:top w:w="0" w:type="dxa"/>
            <w:left w:w="108" w:type="dxa"/>
            <w:bottom w:w="0" w:type="dxa"/>
            <w:right w:w="108" w:type="dxa"/>
          </w:tblCellMar>
        </w:tblPrEx>
        <w:trPr>
          <w:trHeight w:val="327" w:hRule="atLeast"/>
        </w:trPr>
        <w:tc>
          <w:tcPr>
            <w:tcW w:w="3312"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11335" w:type="dxa"/>
            <w:gridSpan w:val="7"/>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UNIVERSITAS PRIMA INDONESIA</w:t>
            </w:r>
          </w:p>
        </w:tc>
      </w:tr>
      <w:tr>
        <w:tblPrEx>
          <w:tblCellMar>
            <w:top w:w="0" w:type="dxa"/>
            <w:left w:w="108" w:type="dxa"/>
            <w:bottom w:w="0" w:type="dxa"/>
            <w:right w:w="108" w:type="dxa"/>
          </w:tblCellMar>
        </w:tblPrEx>
        <w:trPr>
          <w:trHeight w:val="327" w:hRule="atLeast"/>
        </w:trPr>
        <w:tc>
          <w:tcPr>
            <w:tcW w:w="3312"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11335" w:type="dxa"/>
            <w:gridSpan w:val="7"/>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p>
        </w:tc>
      </w:tr>
      <w:tr>
        <w:tblPrEx>
          <w:tblCellMar>
            <w:top w:w="0" w:type="dxa"/>
            <w:left w:w="108" w:type="dxa"/>
            <w:bottom w:w="0" w:type="dxa"/>
            <w:right w:w="108" w:type="dxa"/>
          </w:tblCellMar>
        </w:tblPrEx>
        <w:trPr>
          <w:trHeight w:val="327" w:hRule="atLeast"/>
        </w:trPr>
        <w:tc>
          <w:tcPr>
            <w:tcW w:w="3312"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11335" w:type="dxa"/>
            <w:gridSpan w:val="7"/>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p>
        </w:tc>
      </w:tr>
      <w:tr>
        <w:tblPrEx>
          <w:tblCellMar>
            <w:top w:w="0" w:type="dxa"/>
            <w:left w:w="108" w:type="dxa"/>
            <w:bottom w:w="0" w:type="dxa"/>
            <w:right w:w="108" w:type="dxa"/>
          </w:tblCellMar>
        </w:tblPrEx>
        <w:trPr>
          <w:trHeight w:val="140" w:hRule="atLeast"/>
        </w:trPr>
        <w:tc>
          <w:tcPr>
            <w:tcW w:w="3312"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tcBorders>
              <w:top w:val="nil"/>
              <w:left w:val="nil"/>
              <w:bottom w:val="single" w:color="auto" w:sz="4" w:space="0"/>
              <w:right w:val="nil"/>
            </w:tcBorders>
            <w:shd w:val="clear" w:color="auto" w:fill="auto"/>
            <w:noWrap/>
            <w:vAlign w:val="center"/>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c>
          <w:tcPr>
            <w:tcW w:w="1042" w:type="dxa"/>
            <w:gridSpan w:val="3"/>
            <w:tcBorders>
              <w:top w:val="nil"/>
              <w:left w:val="nil"/>
              <w:bottom w:val="single" w:color="auto" w:sz="4" w:space="0"/>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c>
          <w:tcPr>
            <w:tcW w:w="2651" w:type="dxa"/>
            <w:tcBorders>
              <w:top w:val="nil"/>
              <w:left w:val="nil"/>
              <w:bottom w:val="single" w:color="auto" w:sz="4" w:space="0"/>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c>
          <w:tcPr>
            <w:tcW w:w="1707" w:type="dxa"/>
            <w:tcBorders>
              <w:top w:val="nil"/>
              <w:left w:val="nil"/>
              <w:bottom w:val="single" w:color="auto" w:sz="4" w:space="0"/>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c>
          <w:tcPr>
            <w:tcW w:w="386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r>
      <w:tr>
        <w:tblPrEx>
          <w:tblCellMar>
            <w:top w:w="0" w:type="dxa"/>
            <w:left w:w="108" w:type="dxa"/>
            <w:bottom w:w="0" w:type="dxa"/>
            <w:right w:w="108" w:type="dxa"/>
          </w:tblCellMar>
        </w:tblPrEx>
        <w:trPr>
          <w:trHeight w:val="327" w:hRule="atLeast"/>
        </w:trPr>
        <w:tc>
          <w:tcPr>
            <w:tcW w:w="14647" w:type="dxa"/>
            <w:gridSpan w:val="9"/>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RENCANA PEMBELAJARAN SEMESTER</w:t>
            </w:r>
          </w:p>
        </w:tc>
      </w:tr>
      <w:tr>
        <w:tblPrEx>
          <w:tblCellMar>
            <w:top w:w="0" w:type="dxa"/>
            <w:left w:w="108" w:type="dxa"/>
            <w:bottom w:w="0" w:type="dxa"/>
            <w:right w:w="108" w:type="dxa"/>
          </w:tblCellMar>
        </w:tblPrEx>
        <w:trPr>
          <w:trHeight w:val="275" w:hRule="atLeast"/>
        </w:trPr>
        <w:tc>
          <w:tcPr>
            <w:tcW w:w="3312" w:type="dxa"/>
            <w:gridSpan w:val="2"/>
            <w:vMerge w:val="restart"/>
            <w:tcBorders>
              <w:top w:val="nil"/>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JENIS DOKUMEN</w:t>
            </w:r>
          </w:p>
        </w:tc>
        <w:tc>
          <w:tcPr>
            <w:tcW w:w="5760" w:type="dxa"/>
            <w:gridSpan w:val="5"/>
            <w:tcBorders>
              <w:top w:val="single" w:color="auto" w:sz="4" w:space="0"/>
              <w:left w:val="nil"/>
              <w:bottom w:val="single" w:color="auto" w:sz="4" w:space="0"/>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DISUSUN OLEH:</w:t>
            </w:r>
          </w:p>
        </w:tc>
        <w:tc>
          <w:tcPr>
            <w:tcW w:w="5575" w:type="dxa"/>
            <w:gridSpan w:val="2"/>
            <w:tcBorders>
              <w:top w:val="single" w:color="auto" w:sz="4" w:space="0"/>
              <w:left w:val="nil"/>
              <w:bottom w:val="single" w:color="auto" w:sz="4" w:space="0"/>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DISETUJUI OLEH:</w:t>
            </w:r>
          </w:p>
        </w:tc>
      </w:tr>
      <w:tr>
        <w:tblPrEx>
          <w:tblCellMar>
            <w:top w:w="0" w:type="dxa"/>
            <w:left w:w="108" w:type="dxa"/>
            <w:bottom w:w="0" w:type="dxa"/>
            <w:right w:w="108" w:type="dxa"/>
          </w:tblCellMar>
        </w:tblPrEx>
        <w:trPr>
          <w:trHeight w:val="275" w:hRule="atLeast"/>
        </w:trPr>
        <w:tc>
          <w:tcPr>
            <w:tcW w:w="3312" w:type="dxa"/>
            <w:gridSpan w:val="2"/>
            <w:vMerge w:val="continue"/>
            <w:tcBorders>
              <w:top w:val="nil"/>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5760" w:type="dxa"/>
            <w:gridSpan w:val="5"/>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KOORDINATOR</w:t>
            </w:r>
          </w:p>
        </w:tc>
        <w:tc>
          <w:tcPr>
            <w:tcW w:w="5575" w:type="dxa"/>
            <w:gridSpan w:val="2"/>
            <w:tcBorders>
              <w:top w:val="single" w:color="auto" w:sz="4" w:space="0"/>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KETUA PROGRAM STUDI</w:t>
            </w:r>
          </w:p>
        </w:tc>
      </w:tr>
      <w:tr>
        <w:tblPrEx>
          <w:tblCellMar>
            <w:top w:w="0" w:type="dxa"/>
            <w:left w:w="108" w:type="dxa"/>
            <w:bottom w:w="0" w:type="dxa"/>
            <w:right w:w="108" w:type="dxa"/>
          </w:tblCellMar>
        </w:tblPrEx>
        <w:trPr>
          <w:trHeight w:val="275" w:hRule="atLeast"/>
        </w:trPr>
        <w:tc>
          <w:tcPr>
            <w:tcW w:w="3312" w:type="dxa"/>
            <w:gridSpan w:val="2"/>
            <w:vMerge w:val="restart"/>
            <w:tcBorders>
              <w:top w:val="nil"/>
              <w:left w:val="single" w:color="auto" w:sz="4" w:space="0"/>
              <w:bottom w:val="single" w:color="000000"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FORMULIR MUTU</w:t>
            </w:r>
          </w:p>
        </w:tc>
        <w:tc>
          <w:tcPr>
            <w:tcW w:w="5760" w:type="dxa"/>
            <w:gridSpan w:val="5"/>
            <w:tcBorders>
              <w:top w:val="nil"/>
              <w:left w:val="nil"/>
              <w:bottom w:val="nil"/>
              <w:right w:val="single" w:color="000000" w:sz="4" w:space="0"/>
            </w:tcBorders>
            <w:shd w:val="clear" w:color="auto" w:fill="auto"/>
            <w:noWrap/>
            <w:vAlign w:val="center"/>
          </w:tcPr>
          <w:p>
            <w:pPr>
              <w:spacing w:after="0" w:line="240" w:lineRule="auto"/>
              <w:jc w:val="center"/>
              <w:rPr>
                <w:rFonts w:ascii="Times New Roman" w:hAnsi="Times New Roman" w:eastAsia="Times New Roman" w:cs="Times New Roman"/>
                <w:b/>
                <w:bCs/>
                <w:color w:val="000000"/>
              </w:rPr>
            </w:pPr>
            <w:r>
              <w:drawing>
                <wp:inline distT="0" distB="0" distL="0" distR="0">
                  <wp:extent cx="1228725" cy="923925"/>
                  <wp:effectExtent l="0" t="0" r="0" b="0"/>
                  <wp:docPr id="2" name="Picture 2" descr="C:\Users\LENOVO\Documents\MK Morphology Unpri\Tanda tangan Rah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ENOVO\Documents\MK Morphology Unpri\Tanda tangan Rahma.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28868" cy="924033"/>
                          </a:xfrm>
                          <a:prstGeom prst="rect">
                            <a:avLst/>
                          </a:prstGeom>
                          <a:noFill/>
                          <a:ln>
                            <a:noFill/>
                          </a:ln>
                        </pic:spPr>
                      </pic:pic>
                    </a:graphicData>
                  </a:graphic>
                </wp:inline>
              </w:drawing>
            </w:r>
            <w:r>
              <w:rPr>
                <w:rFonts w:ascii="Times New Roman" w:hAnsi="Times New Roman" w:eastAsia="Times New Roman" w:cs="Times New Roman"/>
                <w:b/>
                <w:bCs/>
                <w:color w:val="000000"/>
              </w:rPr>
              <w:t> </w:t>
            </w:r>
          </w:p>
        </w:tc>
        <w:tc>
          <w:tcPr>
            <w:tcW w:w="5575" w:type="dxa"/>
            <w:gridSpan w:val="2"/>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p>
          <w:p>
            <w:pPr>
              <w:spacing w:after="0" w:line="240" w:lineRule="auto"/>
              <w:jc w:val="center"/>
              <w:rPr>
                <w:rFonts w:ascii="Times New Roman" w:hAnsi="Times New Roman" w:eastAsia="Times New Roman" w:cs="Times New Roman"/>
                <w:color w:val="000000"/>
              </w:rPr>
            </w:pPr>
          </w:p>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 </w:t>
            </w:r>
          </w:p>
        </w:tc>
      </w:tr>
      <w:tr>
        <w:tblPrEx>
          <w:tblCellMar>
            <w:top w:w="0" w:type="dxa"/>
            <w:left w:w="108" w:type="dxa"/>
            <w:bottom w:w="0" w:type="dxa"/>
            <w:right w:w="108" w:type="dxa"/>
          </w:tblCellMar>
        </w:tblPrEx>
        <w:trPr>
          <w:trHeight w:val="275" w:hRule="atLeast"/>
        </w:trPr>
        <w:tc>
          <w:tcPr>
            <w:tcW w:w="3312" w:type="dxa"/>
            <w:gridSpan w:val="2"/>
            <w:vMerge w:val="continue"/>
            <w:tcBorders>
              <w:top w:val="nil"/>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5760" w:type="dxa"/>
            <w:gridSpan w:val="5"/>
            <w:tcBorders>
              <w:top w:val="nil"/>
              <w:left w:val="nil"/>
              <w:bottom w:val="nil"/>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[RAHMAWATI, S.Pd.,M.Si.]</w:t>
            </w:r>
          </w:p>
        </w:tc>
        <w:tc>
          <w:tcPr>
            <w:tcW w:w="5575" w:type="dxa"/>
            <w:gridSpan w:val="2"/>
            <w:tcBorders>
              <w:top w:val="nil"/>
              <w:left w:val="nil"/>
              <w:bottom w:val="single" w:color="auto" w:sz="4" w:space="0"/>
              <w:right w:val="single" w:color="000000" w:sz="4" w:space="0"/>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w:t>
            </w:r>
            <w:r>
              <w:rPr>
                <w:rFonts w:ascii="Times New Roman" w:hAnsi="Times New Roman" w:cs="Times New Roman"/>
              </w:rPr>
              <w:t>Yenita Br Sembiring, S.S.,M.Hum</w:t>
            </w:r>
            <w:r>
              <w:rPr>
                <w:rFonts w:ascii="Times New Roman" w:hAnsi="Times New Roman" w:eastAsia="Times New Roman" w:cs="Times New Roman"/>
                <w:color w:val="000000"/>
              </w:rPr>
              <w:t>]</w:t>
            </w:r>
          </w:p>
        </w:tc>
      </w:tr>
      <w:tr>
        <w:tblPrEx>
          <w:tblCellMar>
            <w:top w:w="0" w:type="dxa"/>
            <w:left w:w="108" w:type="dxa"/>
            <w:bottom w:w="0" w:type="dxa"/>
            <w:right w:w="108" w:type="dxa"/>
          </w:tblCellMar>
        </w:tblPrEx>
        <w:trPr>
          <w:trHeight w:val="275" w:hRule="atLeast"/>
        </w:trPr>
        <w:tc>
          <w:tcPr>
            <w:tcW w:w="3312" w:type="dxa"/>
            <w:gridSpan w:val="2"/>
            <w:vMerge w:val="continue"/>
            <w:tcBorders>
              <w:top w:val="nil"/>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893" w:type="dxa"/>
            <w:gridSpan w:val="2"/>
            <w:tcBorders>
              <w:top w:val="nil"/>
              <w:left w:val="nil"/>
              <w:bottom w:val="single" w:color="auto" w:sz="4" w:space="0"/>
              <w:right w:val="nil"/>
            </w:tcBorders>
            <w:shd w:val="clear" w:color="auto" w:fill="auto"/>
            <w:noWrap/>
            <w:vAlign w:val="bottom"/>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TANGGAL :</w:t>
            </w:r>
          </w:p>
        </w:tc>
        <w:tc>
          <w:tcPr>
            <w:tcW w:w="2867" w:type="dxa"/>
            <w:gridSpan w:val="3"/>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707" w:type="dxa"/>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TANGGAL :</w:t>
            </w:r>
          </w:p>
        </w:tc>
        <w:tc>
          <w:tcPr>
            <w:tcW w:w="3868"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r>
      <w:tr>
        <w:tblPrEx>
          <w:tblCellMar>
            <w:top w:w="0" w:type="dxa"/>
            <w:left w:w="108" w:type="dxa"/>
            <w:bottom w:w="0" w:type="dxa"/>
            <w:right w:w="108" w:type="dxa"/>
          </w:tblCellMar>
        </w:tblPrEx>
        <w:trPr>
          <w:trHeight w:val="824" w:hRule="atLeast"/>
        </w:trPr>
        <w:tc>
          <w:tcPr>
            <w:tcW w:w="3312" w:type="dxa"/>
            <w:gridSpan w:val="2"/>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Program Studi:</w:t>
            </w:r>
          </w:p>
        </w:tc>
        <w:tc>
          <w:tcPr>
            <w:tcW w:w="2893" w:type="dxa"/>
            <w:gridSpan w:val="2"/>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Kode:</w:t>
            </w:r>
          </w:p>
        </w:tc>
        <w:tc>
          <w:tcPr>
            <w:tcW w:w="2867" w:type="dxa"/>
            <w:gridSpan w:val="3"/>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Nama Matakuliah:</w:t>
            </w:r>
          </w:p>
        </w:tc>
        <w:tc>
          <w:tcPr>
            <w:tcW w:w="1707"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SKS: </w:t>
            </w:r>
          </w:p>
        </w:tc>
        <w:tc>
          <w:tcPr>
            <w:tcW w:w="3868"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Dosen Pengampu:</w:t>
            </w:r>
          </w:p>
        </w:tc>
      </w:tr>
      <w:tr>
        <w:tblPrEx>
          <w:tblCellMar>
            <w:top w:w="0" w:type="dxa"/>
            <w:left w:w="108" w:type="dxa"/>
            <w:bottom w:w="0" w:type="dxa"/>
            <w:right w:w="108" w:type="dxa"/>
          </w:tblCellMar>
        </w:tblPrEx>
        <w:trPr>
          <w:trHeight w:val="1098" w:hRule="atLeast"/>
        </w:trPr>
        <w:tc>
          <w:tcPr>
            <w:tcW w:w="3312" w:type="dxa"/>
            <w:gridSpan w:val="2"/>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PENDIDIKAN BAHASA INGGRIS</w:t>
            </w:r>
          </w:p>
        </w:tc>
        <w:tc>
          <w:tcPr>
            <w:tcW w:w="2893" w:type="dxa"/>
            <w:gridSpan w:val="2"/>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ING62126</w:t>
            </w:r>
          </w:p>
        </w:tc>
        <w:tc>
          <w:tcPr>
            <w:tcW w:w="2867" w:type="dxa"/>
            <w:gridSpan w:val="3"/>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Critical Reading</w:t>
            </w:r>
          </w:p>
        </w:tc>
        <w:tc>
          <w:tcPr>
            <w:tcW w:w="1707"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3868"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RAHMAWATI, S.Pd.,M.Si</w:t>
            </w:r>
          </w:p>
        </w:tc>
      </w:tr>
      <w:tr>
        <w:tblPrEx>
          <w:tblCellMar>
            <w:top w:w="0" w:type="dxa"/>
            <w:left w:w="108" w:type="dxa"/>
            <w:bottom w:w="0" w:type="dxa"/>
            <w:right w:w="108" w:type="dxa"/>
          </w:tblCellMar>
        </w:tblPrEx>
        <w:trPr>
          <w:trHeight w:val="275" w:hRule="atLeast"/>
        </w:trPr>
        <w:tc>
          <w:tcPr>
            <w:tcW w:w="3312" w:type="dxa"/>
            <w:gridSpan w:val="2"/>
            <w:tcBorders>
              <w:top w:val="nil"/>
              <w:left w:val="single" w:color="auto" w:sz="4" w:space="0"/>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067" w:type="dxa"/>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826" w:type="dxa"/>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867" w:type="dxa"/>
            <w:gridSpan w:val="3"/>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707" w:type="dxa"/>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3868"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p>
            <w:pPr>
              <w:spacing w:after="0" w:line="240" w:lineRule="auto"/>
              <w:rPr>
                <w:rFonts w:ascii="Times New Roman" w:hAnsi="Times New Roman" w:eastAsia="Times New Roman" w:cs="Times New Roman"/>
                <w:color w:val="000000"/>
              </w:rPr>
            </w:pPr>
          </w:p>
          <w:p>
            <w:pPr>
              <w:spacing w:after="0" w:line="240" w:lineRule="auto"/>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275" w:hRule="atLeast"/>
        </w:trPr>
        <w:tc>
          <w:tcPr>
            <w:tcW w:w="3312" w:type="dxa"/>
            <w:gridSpan w:val="2"/>
            <w:vMerge w:val="restart"/>
            <w:tcBorders>
              <w:top w:val="nil"/>
              <w:left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CAPAIAN PEMBELAJARAN LULUSAN YANG DIBEBANKAN KEPADA MATA KULIAH</w:t>
            </w:r>
          </w:p>
        </w:tc>
        <w:tc>
          <w:tcPr>
            <w:tcW w:w="20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CPL</w:t>
            </w:r>
          </w:p>
        </w:tc>
        <w:tc>
          <w:tcPr>
            <w:tcW w:w="82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Kode CPL</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PERNYATAN CPL</w:t>
            </w:r>
          </w:p>
        </w:tc>
      </w:tr>
      <w:tr>
        <w:tblPrEx>
          <w:tblCellMar>
            <w:top w:w="0" w:type="dxa"/>
            <w:left w:w="108" w:type="dxa"/>
            <w:bottom w:w="0" w:type="dxa"/>
            <w:right w:w="108" w:type="dxa"/>
          </w:tblCellMar>
        </w:tblPrEx>
        <w:trPr>
          <w:trHeight w:val="374"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restart"/>
            <w:tcBorders>
              <w:top w:val="nil"/>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SIKAP</w:t>
            </w:r>
          </w:p>
        </w:tc>
        <w:tc>
          <w:tcPr>
            <w:tcW w:w="826"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S01</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bertakwa kepada Tuhan Yang Maha Esa dan mampu menunjukkan sikap religius; </w:t>
            </w:r>
          </w:p>
        </w:tc>
      </w:tr>
      <w:tr>
        <w:tblPrEx>
          <w:tblCellMar>
            <w:top w:w="0" w:type="dxa"/>
            <w:left w:w="108" w:type="dxa"/>
            <w:bottom w:w="0" w:type="dxa"/>
            <w:right w:w="108" w:type="dxa"/>
          </w:tblCellMar>
        </w:tblPrEx>
        <w:trPr>
          <w:trHeight w:val="362"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S02</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menjunjung tinggi nilai kemanusiaan dalam menjalankan tugas berdasarkan agama, moral, dan etika;</w:t>
            </w:r>
          </w:p>
        </w:tc>
      </w:tr>
      <w:tr>
        <w:tblPrEx>
          <w:tblCellMar>
            <w:top w:w="0" w:type="dxa"/>
            <w:left w:w="108" w:type="dxa"/>
            <w:bottom w:w="0" w:type="dxa"/>
            <w:right w:w="108" w:type="dxa"/>
          </w:tblCellMar>
        </w:tblPrEx>
        <w:trPr>
          <w:trHeight w:val="229"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S03</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berkontribusi dalam peningkatan mutu kehidupan bermasyarakat, berbangsa, bernegara, dan kemajuan peradaban berdasarkan Pancasila;</w:t>
            </w:r>
          </w:p>
        </w:tc>
      </w:tr>
      <w:tr>
        <w:tblPrEx>
          <w:tblCellMar>
            <w:top w:w="0" w:type="dxa"/>
            <w:left w:w="108" w:type="dxa"/>
            <w:bottom w:w="0" w:type="dxa"/>
            <w:right w:w="108" w:type="dxa"/>
          </w:tblCellMar>
        </w:tblPrEx>
        <w:trPr>
          <w:trHeight w:val="362"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S04</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berperan sebagai warga negara yang bangga dan cinta tanah air, memiliki nasionalisme serta rasa tanggung jawab pada negara dan bangsa;</w:t>
            </w:r>
          </w:p>
        </w:tc>
      </w:tr>
      <w:tr>
        <w:tblPrEx>
          <w:tblCellMar>
            <w:top w:w="0" w:type="dxa"/>
            <w:left w:w="108" w:type="dxa"/>
            <w:bottom w:w="0" w:type="dxa"/>
            <w:right w:w="108" w:type="dxa"/>
          </w:tblCellMar>
        </w:tblPrEx>
        <w:trPr>
          <w:trHeight w:val="386"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S05</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menghargai keanekaragaman budaya, pandangan, agama, dan kepercayaan, serta pendapat atau temuan orisinal orang lain;</w:t>
            </w:r>
          </w:p>
        </w:tc>
      </w:tr>
      <w:tr>
        <w:tblPrEx>
          <w:tblCellMar>
            <w:top w:w="0" w:type="dxa"/>
            <w:left w:w="108" w:type="dxa"/>
            <w:bottom w:w="0" w:type="dxa"/>
            <w:right w:w="108" w:type="dxa"/>
          </w:tblCellMar>
        </w:tblPrEx>
        <w:trPr>
          <w:trHeight w:val="458"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S06</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bekerja sama dan memiliki kepekaan sosial serta kepedulian terhadap masyarakat dan lingkungan;</w:t>
            </w:r>
          </w:p>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241"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S07</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taat hukum dan disiplin dalam kehidupan bermasyarakat dan bernegara;</w:t>
            </w:r>
          </w:p>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205"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S08</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menginternalisasi nilai, norma, dan etika akademik;</w:t>
            </w:r>
          </w:p>
        </w:tc>
      </w:tr>
      <w:tr>
        <w:tblPrEx>
          <w:tblCellMar>
            <w:top w:w="0" w:type="dxa"/>
            <w:left w:w="108" w:type="dxa"/>
            <w:bottom w:w="0" w:type="dxa"/>
            <w:right w:w="108" w:type="dxa"/>
          </w:tblCellMar>
        </w:tblPrEx>
        <w:trPr>
          <w:trHeight w:val="422"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S09</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menunjukkan sikap bertanggung jawab atas pekerjaan di bidang keahliannya secara mandiri;</w:t>
            </w:r>
          </w:p>
        </w:tc>
      </w:tr>
      <w:tr>
        <w:tblPrEx>
          <w:tblCellMar>
            <w:top w:w="0" w:type="dxa"/>
            <w:left w:w="108" w:type="dxa"/>
            <w:bottom w:w="0" w:type="dxa"/>
            <w:right w:w="108" w:type="dxa"/>
          </w:tblCellMar>
        </w:tblPrEx>
        <w:trPr>
          <w:trHeight w:val="289"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S10</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menginternalisasi semangat kemandirian, kejuangan, dan kewirausahaan</w:t>
            </w:r>
          </w:p>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543"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S11</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optimis, memiliki rasa ingin tahu yang tinggi dan kemauan belajar yang besar; dan</w:t>
            </w:r>
          </w:p>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447"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26"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S12</w:t>
            </w:r>
          </w:p>
        </w:tc>
        <w:tc>
          <w:tcPr>
            <w:tcW w:w="8442" w:type="dxa"/>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memiliki pandangan yang luas, terbuka, dan berfikir positif.</w:t>
            </w:r>
          </w:p>
        </w:tc>
      </w:tr>
      <w:tr>
        <w:tblPrEx>
          <w:tblCellMar>
            <w:top w:w="0" w:type="dxa"/>
            <w:left w:w="108" w:type="dxa"/>
            <w:bottom w:w="0" w:type="dxa"/>
            <w:right w:w="108" w:type="dxa"/>
          </w:tblCellMar>
        </w:tblPrEx>
        <w:trPr>
          <w:trHeight w:val="313"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restart"/>
            <w:tcBorders>
              <w:top w:val="nil"/>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PENGETAHUAN</w:t>
            </w:r>
          </w:p>
        </w:tc>
        <w:tc>
          <w:tcPr>
            <w:tcW w:w="837" w:type="dxa"/>
            <w:gridSpan w:val="2"/>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Menguasai konsep teoretis tentang kebahasaan, kesusastraan, literasi, serta pembelajaran bahasa</w:t>
            </w:r>
          </w:p>
        </w:tc>
      </w:tr>
      <w:tr>
        <w:tblPrEx>
          <w:tblCellMar>
            <w:top w:w="0" w:type="dxa"/>
            <w:left w:w="108" w:type="dxa"/>
            <w:bottom w:w="0" w:type="dxa"/>
            <w:right w:w="108" w:type="dxa"/>
          </w:tblCellMar>
        </w:tblPrEx>
        <w:trPr>
          <w:trHeight w:val="245"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Menerapkan pemikiran logis, kritis, sistematis, dan inovatif dalam konteks pengembangan atau implementasi ilmu</w:t>
            </w:r>
          </w:p>
        </w:tc>
      </w:tr>
      <w:tr>
        <w:tblPrEx>
          <w:tblCellMar>
            <w:top w:w="0" w:type="dxa"/>
            <w:left w:w="108" w:type="dxa"/>
            <w:bottom w:w="0" w:type="dxa"/>
            <w:right w:w="108" w:type="dxa"/>
          </w:tblCellMar>
        </w:tblPrEx>
        <w:trPr>
          <w:trHeight w:val="245"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Pengetahuan dan/atau teknologi sesuai dengan bidang keahliannya.</w:t>
            </w:r>
          </w:p>
        </w:tc>
      </w:tr>
      <w:tr>
        <w:tblPrEx>
          <w:tblCellMar>
            <w:top w:w="0" w:type="dxa"/>
            <w:left w:w="108" w:type="dxa"/>
            <w:bottom w:w="0" w:type="dxa"/>
            <w:right w:w="108" w:type="dxa"/>
          </w:tblCellMar>
        </w:tblPrEx>
        <w:trPr>
          <w:trHeight w:val="245"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Mengaplikasikan konsep dan prinsip-prinsip dasar kebahasaan, keilmuan dan kesusastraan Inggris untuk melaksanakan pendidikan dan pengajaran serta penelitian inovatif.</w:t>
            </w:r>
          </w:p>
        </w:tc>
      </w:tr>
      <w:tr>
        <w:tblPrEx>
          <w:tblCellMar>
            <w:top w:w="0" w:type="dxa"/>
            <w:left w:w="108" w:type="dxa"/>
            <w:bottom w:w="0" w:type="dxa"/>
            <w:right w:w="108" w:type="dxa"/>
          </w:tblCellMar>
        </w:tblPrEx>
        <w:trPr>
          <w:trHeight w:val="245"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302"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restart"/>
            <w:tcBorders>
              <w:top w:val="nil"/>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KETERAMPILAN UMUM</w:t>
            </w:r>
          </w:p>
        </w:tc>
        <w:tc>
          <w:tcPr>
            <w:tcW w:w="837" w:type="dxa"/>
            <w:gridSpan w:val="2"/>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KU01</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mampu menerapkan pemikiran logis, kritis, sistematis, dan inovatif dalam konteks pengembangan atau implementasi ilmu pengetahuan dan teknologi yang memerhatikan dan menerapkan nilai humaniora yang sesuai dengan bidang keahliannya;</w:t>
            </w:r>
            <w:r>
              <w:rPr>
                <w:rFonts w:ascii="Times New Roman" w:hAnsi="Times New Roman" w:eastAsia="Times New Roman" w:cs="Times New Roman"/>
                <w:color w:val="000000"/>
              </w:rPr>
              <w:t> </w:t>
            </w:r>
          </w:p>
        </w:tc>
      </w:tr>
      <w:tr>
        <w:tblPrEx>
          <w:tblCellMar>
            <w:top w:w="0" w:type="dxa"/>
            <w:left w:w="108" w:type="dxa"/>
            <w:bottom w:w="0" w:type="dxa"/>
            <w:right w:w="108" w:type="dxa"/>
          </w:tblCellMar>
        </w:tblPrEx>
        <w:trPr>
          <w:trHeight w:val="289"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KU02</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mampu menunjukkan kinerja mandiri, bermutu, dan terukur;</w:t>
            </w:r>
          </w:p>
        </w:tc>
      </w:tr>
      <w:tr>
        <w:tblPrEx>
          <w:tblCellMar>
            <w:top w:w="0" w:type="dxa"/>
            <w:left w:w="108" w:type="dxa"/>
            <w:bottom w:w="0" w:type="dxa"/>
            <w:right w:w="108" w:type="dxa"/>
          </w:tblCellMar>
        </w:tblPrEx>
        <w:trPr>
          <w:trHeight w:val="217"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KU03</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mampu mengkaji implikasi pengembangan atau implementasi ilmu pengetahuan dan teknologi yang memerhatikan dan menerapkan nilai humaniora sesuai dengan keahliannya berdasarkan kaidah, tata cara dan etika ilmiah dalam rangka menghasilkan solusi, gagasan, desain atau kritik seni.</w:t>
            </w:r>
          </w:p>
        </w:tc>
      </w:tr>
      <w:tr>
        <w:tblPrEx>
          <w:tblCellMar>
            <w:top w:w="0" w:type="dxa"/>
            <w:left w:w="108" w:type="dxa"/>
            <w:bottom w:w="0" w:type="dxa"/>
            <w:right w:w="108" w:type="dxa"/>
          </w:tblCellMar>
        </w:tblPrEx>
        <w:trPr>
          <w:trHeight w:val="250"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KU04</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mampu menyusun deskripsi saintifik hasil kajian tersebut di atas dalam bentuk skripsi atau laporan tugas akhir, dan mengunggahnya dalam laman perguruan tinggi;</w:t>
            </w:r>
          </w:p>
        </w:tc>
      </w:tr>
      <w:tr>
        <w:tblPrEx>
          <w:tblCellMar>
            <w:top w:w="0" w:type="dxa"/>
            <w:left w:w="108" w:type="dxa"/>
            <w:bottom w:w="0" w:type="dxa"/>
            <w:right w:w="108" w:type="dxa"/>
          </w:tblCellMar>
        </w:tblPrEx>
        <w:trPr>
          <w:trHeight w:val="251"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KU05</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mampu mengambil keputusan secara tepat dalam konteks penyelesaian masalah di bidang keahliannya, berdasarkan hasil analisis informasi dan data;</w:t>
            </w:r>
          </w:p>
        </w:tc>
      </w:tr>
      <w:tr>
        <w:tblPrEx>
          <w:tblCellMar>
            <w:top w:w="0" w:type="dxa"/>
            <w:left w:w="108" w:type="dxa"/>
            <w:bottom w:w="0" w:type="dxa"/>
            <w:right w:w="108" w:type="dxa"/>
          </w:tblCellMar>
        </w:tblPrEx>
        <w:trPr>
          <w:trHeight w:val="217"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KU06</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mampu memelihara dan mengembangkan jaringan kerja dengan pembimbing, kolega, sejawat baik di dalam maupun di luar lembaganya;</w:t>
            </w:r>
          </w:p>
        </w:tc>
      </w:tr>
      <w:tr>
        <w:tblPrEx>
          <w:tblCellMar>
            <w:top w:w="0" w:type="dxa"/>
            <w:left w:w="108" w:type="dxa"/>
            <w:bottom w:w="0" w:type="dxa"/>
            <w:right w:w="108" w:type="dxa"/>
          </w:tblCellMar>
        </w:tblPrEx>
        <w:trPr>
          <w:trHeight w:val="869"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KU07</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bertanggung jawab atas pencapaian hasil kerja kelompok dan melakukan supervisi serta evaluasi terhadap penyelesaian pekerjaan yang ditugaskan kepada pekerja yang berada di bawah tanggung jawabnya;</w:t>
            </w:r>
          </w:p>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205"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KU08</w:t>
            </w:r>
          </w:p>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melakukan proses evaluasi diri terhadap kelompok kerja yang berada di bawah tanggung jawabnya, dan mampu mengelola pembelajaran secara mandiri; mampu mendokumentasikan, menyimpan, mengamankan</w:t>
            </w:r>
          </w:p>
          <w:p>
            <w:pPr>
              <w:spacing w:after="0" w:line="240" w:lineRule="auto"/>
              <w:jc w:val="both"/>
              <w:rPr>
                <w:rFonts w:ascii="Times New Roman" w:hAnsi="Times New Roman" w:cs="Times New Roman"/>
              </w:rPr>
            </w:pPr>
            <w:r>
              <w:rPr>
                <w:rFonts w:ascii="Times New Roman" w:hAnsi="Times New Roman" w:cs="Times New Roman"/>
              </w:rPr>
              <w:t>mampu mendokumentasikan, menyimpan, mengamankan, dan menemukan kembali data untuk menjamin kesahihan dan mencegah plagiarisme;</w:t>
            </w:r>
          </w:p>
          <w:p>
            <w:pPr>
              <w:spacing w:after="0" w:line="240" w:lineRule="auto"/>
              <w:jc w:val="both"/>
              <w:rPr>
                <w:rFonts w:ascii="Times New Roman" w:hAnsi="Times New Roman" w:cs="Times New Roman"/>
              </w:rPr>
            </w:pPr>
          </w:p>
        </w:tc>
      </w:tr>
      <w:tr>
        <w:tblPrEx>
          <w:tblCellMar>
            <w:top w:w="0" w:type="dxa"/>
            <w:left w:w="108" w:type="dxa"/>
            <w:bottom w:w="0" w:type="dxa"/>
            <w:right w:w="108" w:type="dxa"/>
          </w:tblCellMar>
        </w:tblPrEx>
        <w:trPr>
          <w:trHeight w:val="1250"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p>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KU09</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mendokumentasikan, menyimpan, mengamankan, dan menemukan kembali data untuk menjamin kesahihan dan mencegah plagiarisme;</w:t>
            </w:r>
          </w:p>
        </w:tc>
      </w:tr>
      <w:tr>
        <w:tblPrEx>
          <w:tblCellMar>
            <w:top w:w="0" w:type="dxa"/>
            <w:left w:w="108" w:type="dxa"/>
            <w:bottom w:w="0" w:type="dxa"/>
            <w:right w:w="108" w:type="dxa"/>
          </w:tblCellMar>
        </w:tblPrEx>
        <w:trPr>
          <w:trHeight w:val="1049"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KU10</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beradaptasi, bekerja sama, berkreasi, berkontribusi, dan berinovasi dalam menerapkan ilmu pengetahuan pada kehidupan bermasyarakat serta mampu berperan sebagai warga dunia yang berwawasan global;</w:t>
            </w:r>
          </w:p>
          <w:p>
            <w:pPr>
              <w:spacing w:after="0" w:line="240" w:lineRule="auto"/>
              <w:jc w:val="both"/>
              <w:rPr>
                <w:rFonts w:ascii="Times New Roman" w:hAnsi="Times New Roman" w:cs="Times New Roman"/>
              </w:rPr>
            </w:pPr>
          </w:p>
        </w:tc>
      </w:tr>
      <w:tr>
        <w:tblPrEx>
          <w:tblCellMar>
            <w:top w:w="0" w:type="dxa"/>
            <w:left w:w="108" w:type="dxa"/>
            <w:bottom w:w="0" w:type="dxa"/>
            <w:right w:w="108" w:type="dxa"/>
          </w:tblCellMar>
        </w:tblPrEx>
        <w:trPr>
          <w:trHeight w:val="263"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KU11</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menegakkan integritas akademik secara umum dan mencegah terjadinya praktik plagiarisme;</w:t>
            </w:r>
          </w:p>
        </w:tc>
      </w:tr>
      <w:tr>
        <w:tblPrEx>
          <w:tblCellMar>
            <w:top w:w="0" w:type="dxa"/>
            <w:left w:w="108" w:type="dxa"/>
            <w:bottom w:w="0" w:type="dxa"/>
            <w:right w:w="108" w:type="dxa"/>
          </w:tblCellMar>
        </w:tblPrEx>
        <w:trPr>
          <w:trHeight w:val="567"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KU12</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menggunakan teknologi informasi dalam konteks pengembangan keilmuan dan implementasi bidang keahlian; dan</w:t>
            </w:r>
          </w:p>
          <w:p>
            <w:pPr>
              <w:spacing w:after="0" w:line="240" w:lineRule="auto"/>
              <w:jc w:val="both"/>
              <w:rPr>
                <w:rFonts w:ascii="Times New Roman" w:hAnsi="Times New Roman" w:cs="Times New Roman"/>
              </w:rPr>
            </w:pPr>
          </w:p>
        </w:tc>
      </w:tr>
      <w:tr>
        <w:tblPrEx>
          <w:tblCellMar>
            <w:top w:w="0" w:type="dxa"/>
            <w:left w:w="108" w:type="dxa"/>
            <w:bottom w:w="0" w:type="dxa"/>
            <w:right w:w="108" w:type="dxa"/>
          </w:tblCellMar>
        </w:tblPrEx>
        <w:trPr>
          <w:trHeight w:val="591"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KU13</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cs="Times New Roman"/>
              </w:rPr>
            </w:pPr>
            <w:r>
              <w:rPr>
                <w:rFonts w:ascii="Times New Roman" w:hAnsi="Times New Roman" w:cs="Times New Roman"/>
              </w:rPr>
              <w:t>mampu menggunakan minimal satu bahasa internasional untuk komunikasi lisan dan tulis.</w:t>
            </w:r>
          </w:p>
          <w:p>
            <w:pPr>
              <w:spacing w:after="0" w:line="240" w:lineRule="auto"/>
              <w:jc w:val="both"/>
              <w:rPr>
                <w:rFonts w:ascii="Times New Roman" w:hAnsi="Times New Roman" w:cs="Times New Roman"/>
              </w:rPr>
            </w:pPr>
          </w:p>
        </w:tc>
      </w:tr>
      <w:tr>
        <w:tblPrEx>
          <w:tblCellMar>
            <w:top w:w="0" w:type="dxa"/>
            <w:left w:w="108" w:type="dxa"/>
            <w:bottom w:w="0" w:type="dxa"/>
            <w:right w:w="108" w:type="dxa"/>
          </w:tblCellMar>
        </w:tblPrEx>
        <w:trPr>
          <w:trHeight w:val="536"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restart"/>
            <w:tcBorders>
              <w:top w:val="nil"/>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KETERAMPILAN KHUSUS</w:t>
            </w:r>
          </w:p>
        </w:tc>
        <w:tc>
          <w:tcPr>
            <w:tcW w:w="837" w:type="dxa"/>
            <w:gridSpan w:val="2"/>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Mengkaji konsep, prinsip, teknik dan langkah-langkah perencanaan, pelaksanaan, dan evaluasi pembelajaran bahasa inggris dengan memanfaatkan Iptek yang berorientasi pada kecakapan hidup di tingkat dasar, menengah, dan atas</w:t>
            </w:r>
          </w:p>
        </w:tc>
      </w:tr>
      <w:tr>
        <w:tblPrEx>
          <w:tblCellMar>
            <w:top w:w="0" w:type="dxa"/>
            <w:left w:w="108" w:type="dxa"/>
            <w:bottom w:w="0" w:type="dxa"/>
            <w:right w:w="108" w:type="dxa"/>
          </w:tblCellMar>
        </w:tblPrEx>
        <w:trPr>
          <w:trHeight w:val="306" w:hRule="atLeast"/>
        </w:trPr>
        <w:tc>
          <w:tcPr>
            <w:tcW w:w="3312" w:type="dxa"/>
            <w:gridSpan w:val="2"/>
            <w:vMerge w:val="continue"/>
            <w:tcBorders>
              <w:left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Mengaplikasikan bahasa Inggris secara lisan dan tertulis dalam konteks komunikasi umum, akademis dan pekerjaan sesuai dengan standar mutu internasional</w:t>
            </w:r>
          </w:p>
        </w:tc>
      </w:tr>
      <w:tr>
        <w:tblPrEx>
          <w:tblCellMar>
            <w:top w:w="0" w:type="dxa"/>
            <w:left w:w="108" w:type="dxa"/>
            <w:bottom w:w="0" w:type="dxa"/>
            <w:right w:w="108" w:type="dxa"/>
          </w:tblCellMar>
        </w:tblPrEx>
        <w:trPr>
          <w:trHeight w:val="510" w:hRule="atLeast"/>
        </w:trPr>
        <w:tc>
          <w:tcPr>
            <w:tcW w:w="3312" w:type="dxa"/>
            <w:gridSpan w:val="2"/>
            <w:vMerge w:val="continue"/>
            <w:tcBorders>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vMerge w:val="continue"/>
            <w:tcBorders>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rPr>
            </w:pPr>
          </w:p>
        </w:tc>
        <w:tc>
          <w:tcPr>
            <w:tcW w:w="837" w:type="dxa"/>
            <w:gridSpan w:val="2"/>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275" w:hRule="atLeast"/>
        </w:trPr>
        <w:tc>
          <w:tcPr>
            <w:tcW w:w="3312" w:type="dxa"/>
            <w:gridSpan w:val="2"/>
            <w:tcBorders>
              <w:top w:val="nil"/>
              <w:left w:val="single" w:color="auto" w:sz="4" w:space="0"/>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067"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rPr>
            </w:pPr>
          </w:p>
        </w:tc>
        <w:tc>
          <w:tcPr>
            <w:tcW w:w="837" w:type="dxa"/>
            <w:gridSpan w:val="2"/>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rPr>
            </w:pPr>
          </w:p>
        </w:tc>
        <w:tc>
          <w:tcPr>
            <w:tcW w:w="8431" w:type="dxa"/>
            <w:gridSpan w:val="4"/>
            <w:tcBorders>
              <w:top w:val="single" w:color="auto" w:sz="4" w:space="0"/>
              <w:left w:val="nil"/>
              <w:bottom w:val="single" w:color="auto" w:sz="4" w:space="0"/>
              <w:right w:val="single" w:color="000000" w:sz="4" w:space="0"/>
            </w:tcBorders>
            <w:shd w:val="clear" w:color="auto" w:fill="auto"/>
            <w:noWrap/>
            <w:vAlign w:val="bottom"/>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w:t>
            </w:r>
          </w:p>
        </w:tc>
      </w:tr>
      <w:tr>
        <w:tblPrEx>
          <w:tblCellMar>
            <w:top w:w="0" w:type="dxa"/>
            <w:left w:w="108" w:type="dxa"/>
            <w:bottom w:w="0" w:type="dxa"/>
            <w:right w:w="108" w:type="dxa"/>
          </w:tblCellMar>
        </w:tblPrEx>
        <w:trPr>
          <w:trHeight w:val="275" w:hRule="atLeast"/>
        </w:trPr>
        <w:tc>
          <w:tcPr>
            <w:tcW w:w="3312" w:type="dxa"/>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CAPAIAN PEMBELAJARAN MATA KULIAH</w:t>
            </w:r>
          </w:p>
        </w:tc>
        <w:tc>
          <w:tcPr>
            <w:tcW w:w="2067"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KODE</w:t>
            </w:r>
          </w:p>
        </w:tc>
        <w:tc>
          <w:tcPr>
            <w:tcW w:w="9268" w:type="dxa"/>
            <w:gridSpan w:val="6"/>
            <w:tcBorders>
              <w:top w:val="single" w:color="auto" w:sz="4" w:space="0"/>
              <w:left w:val="nil"/>
              <w:bottom w:val="single" w:color="auto" w:sz="4" w:space="0"/>
              <w:right w:val="single" w:color="auto" w:sz="4" w:space="0"/>
            </w:tcBorders>
            <w:shd w:val="clear" w:color="000000" w:fill="FFFFFF"/>
            <w:noWrap/>
            <w:vAlign w:val="bottom"/>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PERYATAAN CP-MK</w:t>
            </w:r>
          </w:p>
        </w:tc>
      </w:tr>
      <w:tr>
        <w:tblPrEx>
          <w:tblCellMar>
            <w:top w:w="0" w:type="dxa"/>
            <w:left w:w="108" w:type="dxa"/>
            <w:bottom w:w="0" w:type="dxa"/>
            <w:right w:w="108" w:type="dxa"/>
          </w:tblCellMar>
        </w:tblPrEx>
        <w:trPr>
          <w:trHeight w:val="275" w:hRule="atLeast"/>
        </w:trPr>
        <w:tc>
          <w:tcPr>
            <w:tcW w:w="3312" w:type="dxa"/>
            <w:gridSpan w:val="2"/>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CPMK-01</w:t>
            </w:r>
          </w:p>
        </w:tc>
        <w:tc>
          <w:tcPr>
            <w:tcW w:w="9268" w:type="dxa"/>
            <w:gridSpan w:val="6"/>
            <w:tcBorders>
              <w:top w:val="single" w:color="auto" w:sz="4" w:space="0"/>
              <w:left w:val="nil"/>
              <w:bottom w:val="single" w:color="auto" w:sz="4" w:space="0"/>
              <w:right w:val="single" w:color="auto" w:sz="4" w:space="0"/>
            </w:tcBorders>
            <w:shd w:val="clear" w:color="000000" w:fill="FFFFFF"/>
            <w:noWrap/>
            <w:vAlign w:val="bottom"/>
          </w:tcPr>
          <w:p>
            <w:pPr>
              <w:spacing w:after="0" w:line="240" w:lineRule="auto"/>
              <w:jc w:val="both"/>
              <w:rPr>
                <w:rFonts w:ascii="Times New Roman" w:hAnsi="Times New Roman" w:eastAsia="Times New Roman" w:cs="Times New Roman"/>
                <w:color w:val="000000"/>
              </w:rPr>
            </w:pPr>
            <w:r>
              <w:rPr>
                <w:rFonts w:ascii="Times New Roman" w:hAnsi="Times New Roman" w:cs="Times New Roman"/>
              </w:rPr>
              <w:t>Mahasiswa mampu meningkatkan kecepatan dan ketepatan membaca</w:t>
            </w:r>
          </w:p>
        </w:tc>
      </w:tr>
      <w:tr>
        <w:tblPrEx>
          <w:tblCellMar>
            <w:top w:w="0" w:type="dxa"/>
            <w:left w:w="108" w:type="dxa"/>
            <w:bottom w:w="0" w:type="dxa"/>
            <w:right w:w="108" w:type="dxa"/>
          </w:tblCellMar>
        </w:tblPrEx>
        <w:trPr>
          <w:trHeight w:val="275" w:hRule="atLeast"/>
        </w:trPr>
        <w:tc>
          <w:tcPr>
            <w:tcW w:w="3312" w:type="dxa"/>
            <w:gridSpan w:val="2"/>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000000"/>
              </w:rPr>
            </w:pPr>
          </w:p>
        </w:tc>
        <w:tc>
          <w:tcPr>
            <w:tcW w:w="2067" w:type="dxa"/>
            <w:tcBorders>
              <w:top w:val="nil"/>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color w:val="000000"/>
              </w:rPr>
            </w:pPr>
            <w:r>
              <w:rPr>
                <w:rFonts w:ascii="Times New Roman" w:hAnsi="Times New Roman" w:eastAsia="Times New Roman" w:cs="Times New Roman"/>
                <w:color w:val="000000"/>
              </w:rPr>
              <w:t>CPMK-02</w:t>
            </w:r>
          </w:p>
        </w:tc>
        <w:tc>
          <w:tcPr>
            <w:tcW w:w="9268" w:type="dxa"/>
            <w:gridSpan w:val="6"/>
            <w:tcBorders>
              <w:top w:val="single" w:color="auto" w:sz="4" w:space="0"/>
              <w:left w:val="nil"/>
              <w:bottom w:val="single" w:color="auto" w:sz="4" w:space="0"/>
              <w:right w:val="single" w:color="auto" w:sz="4" w:space="0"/>
            </w:tcBorders>
            <w:shd w:val="clear" w:color="000000" w:fill="FFFFFF"/>
            <w:noWrap/>
            <w:vAlign w:val="bottom"/>
          </w:tcPr>
          <w:p>
            <w:pPr>
              <w:pStyle w:val="6"/>
              <w:spacing w:before="0" w:beforeAutospacing="0" w:after="0" w:afterAutospacing="0"/>
              <w:jc w:val="both"/>
              <w:rPr>
                <w:color w:val="000000"/>
                <w:sz w:val="22"/>
                <w:szCs w:val="22"/>
              </w:rPr>
            </w:pPr>
            <w:r>
              <w:rPr>
                <w:color w:val="000000"/>
                <w:sz w:val="22"/>
                <w:szCs w:val="22"/>
              </w:rPr>
              <w:t xml:space="preserve">Mahasiswa mampu </w:t>
            </w:r>
            <w:r>
              <w:rPr>
                <w:color w:val="000000"/>
                <w:sz w:val="22"/>
                <w:szCs w:val="22"/>
                <w:lang w:val="id-ID"/>
              </w:rPr>
              <w:t xml:space="preserve">mempresentasikan isi, mengulas, dan mengekplorasi bacaan fiksi dan nonfiksi secara lisan dan tulisan serta membuat laporan </w:t>
            </w:r>
            <w:r>
              <w:rPr>
                <w:color w:val="000000"/>
                <w:sz w:val="22"/>
                <w:szCs w:val="22"/>
                <w:lang w:val="id-ID" w:eastAsia="id-ID"/>
              </w:rPr>
              <w:t xml:space="preserve">bacaan fiksi dan nonfiksi. </w:t>
            </w:r>
          </w:p>
        </w:tc>
      </w:tr>
      <w:tr>
        <w:tblPrEx>
          <w:tblCellMar>
            <w:top w:w="0" w:type="dxa"/>
            <w:left w:w="108" w:type="dxa"/>
            <w:bottom w:w="0" w:type="dxa"/>
            <w:right w:w="108" w:type="dxa"/>
          </w:tblCellMar>
        </w:tblPrEx>
        <w:trPr>
          <w:trHeight w:val="275" w:hRule="atLeast"/>
        </w:trPr>
        <w:tc>
          <w:tcPr>
            <w:tcW w:w="3312" w:type="dxa"/>
            <w:gridSpan w:val="2"/>
            <w:tcBorders>
              <w:top w:val="nil"/>
              <w:left w:val="single" w:color="auto" w:sz="4" w:space="0"/>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067" w:type="dxa"/>
            <w:tcBorders>
              <w:top w:val="single" w:color="auto" w:sz="4" w:space="0"/>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rPr>
            </w:pPr>
          </w:p>
        </w:tc>
        <w:tc>
          <w:tcPr>
            <w:tcW w:w="1042" w:type="dxa"/>
            <w:gridSpan w:val="3"/>
            <w:tcBorders>
              <w:top w:val="single" w:color="auto" w:sz="4" w:space="0"/>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rPr>
            </w:pPr>
          </w:p>
        </w:tc>
        <w:tc>
          <w:tcPr>
            <w:tcW w:w="2651" w:type="dxa"/>
            <w:tcBorders>
              <w:top w:val="single" w:color="auto" w:sz="4" w:space="0"/>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rPr>
            </w:pPr>
          </w:p>
        </w:tc>
        <w:tc>
          <w:tcPr>
            <w:tcW w:w="1707" w:type="dxa"/>
            <w:tcBorders>
              <w:top w:val="single" w:color="auto" w:sz="4" w:space="0"/>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rPr>
            </w:pPr>
          </w:p>
        </w:tc>
        <w:tc>
          <w:tcPr>
            <w:tcW w:w="3868" w:type="dxa"/>
            <w:tcBorders>
              <w:top w:val="single" w:color="auto" w:sz="4" w:space="0"/>
              <w:left w:val="nil"/>
              <w:bottom w:val="nil"/>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r>
      <w:tr>
        <w:tblPrEx>
          <w:tblCellMar>
            <w:top w:w="0" w:type="dxa"/>
            <w:left w:w="108" w:type="dxa"/>
            <w:bottom w:w="0" w:type="dxa"/>
            <w:right w:w="108" w:type="dxa"/>
          </w:tblCellMar>
        </w:tblPrEx>
        <w:trPr>
          <w:trHeight w:val="275" w:hRule="atLeast"/>
        </w:trPr>
        <w:tc>
          <w:tcPr>
            <w:tcW w:w="3312" w:type="dxa"/>
            <w:gridSpan w:val="2"/>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DESKRPISI MATA KULIAH</w:t>
            </w:r>
          </w:p>
        </w:tc>
        <w:tc>
          <w:tcPr>
            <w:tcW w:w="11335" w:type="dxa"/>
            <w:gridSpan w:val="7"/>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both"/>
              <w:rPr>
                <w:rFonts w:ascii="Times New Roman" w:hAnsi="Times New Roman" w:eastAsia="Times New Roman" w:cs="Times New Roman"/>
                <w:color w:val="000000"/>
                <w:lang w:val="id-ID" w:eastAsia="id-ID"/>
              </w:rPr>
            </w:pPr>
            <w:r>
              <w:rPr>
                <w:rFonts w:ascii="Times New Roman" w:hAnsi="Times New Roman" w:eastAsia="Times New Roman" w:cs="Times New Roman"/>
                <w:color w:val="000000"/>
                <w:lang w:val="id-ID"/>
              </w:rPr>
              <w:t>Cakupan materi Critical Reading</w:t>
            </w:r>
            <w:r>
              <w:rPr>
                <w:rFonts w:hint="default" w:ascii="Times New Roman" w:hAnsi="Times New Roman" w:eastAsia="Times New Roman" w:cs="Times New Roman"/>
                <w:color w:val="000000"/>
                <w:lang w:val="en-US"/>
              </w:rPr>
              <w:t xml:space="preserve"> </w:t>
            </w:r>
            <w:r>
              <w:rPr>
                <w:rFonts w:ascii="Times New Roman" w:hAnsi="Times New Roman" w:eastAsia="Times New Roman" w:cs="Times New Roman"/>
                <w:color w:val="000000"/>
                <w:lang w:val="id-ID"/>
              </w:rPr>
              <w:t>meliputi</w:t>
            </w:r>
            <w:r>
              <w:rPr>
                <w:rFonts w:ascii="Times New Roman" w:hAnsi="Times New Roman" w:eastAsia="Times New Roman" w:cs="Times New Roman"/>
                <w:color w:val="000000"/>
              </w:rPr>
              <w:t xml:space="preserve">: identifikasi komponen-komponen dari fiksi dan nonfiksi, membaca dan memahami isi dari naskah fiksi dan nonfiksi  secara kritis, merefleksikan bacaan fiksi dan nonfiksi secara lisan dan tulisan serta membuat laporan mengenai bacaan fiksi dan nonfiksi, </w:t>
            </w:r>
            <w:r>
              <w:rPr>
                <w:rFonts w:ascii="Times New Roman" w:hAnsi="Times New Roman" w:eastAsia="Times New Roman" w:cs="Times New Roman"/>
                <w:color w:val="000000"/>
                <w:lang w:val="id-ID" w:eastAsia="id-ID"/>
              </w:rPr>
              <w:t xml:space="preserve">menjelaskan definisi dari konteks dan menjelaskan jenis-jenis konteks pada bacaan fiksi dan nonfiksi. </w:t>
            </w:r>
            <w:r>
              <w:rPr>
                <w:rFonts w:ascii="Times New Roman" w:hAnsi="Times New Roman" w:eastAsia="Times New Roman" w:cs="Times New Roman"/>
                <w:color w:val="000000"/>
                <w:lang w:val="id-ID"/>
              </w:rPr>
              <w:t xml:space="preserve">Tugas yang wajib di lakukan oleh mahasiswa yang menempuh mata kuliah ini </w:t>
            </w:r>
            <w:r>
              <w:rPr>
                <w:rFonts w:ascii="Times New Roman" w:hAnsi="Times New Roman" w:eastAsia="Times New Roman" w:cs="Times New Roman"/>
                <w:color w:val="000000"/>
              </w:rPr>
              <w:t xml:space="preserve">adalah meningkatkan kecepatan dan ketepatan membaca, </w:t>
            </w:r>
            <w:r>
              <w:rPr>
                <w:rFonts w:ascii="Times New Roman" w:hAnsi="Times New Roman" w:eastAsia="Times New Roman" w:cs="Times New Roman"/>
                <w:color w:val="000000"/>
                <w:lang w:val="id-ID"/>
              </w:rPr>
              <w:t xml:space="preserve">mempresentasikan isi,  mengulas, dan mengekplorasi bacaan fiksi dan nonfiksi secara lisan dan tulisan serta membuat laporan </w:t>
            </w:r>
            <w:r>
              <w:rPr>
                <w:rFonts w:ascii="Times New Roman" w:hAnsi="Times New Roman" w:eastAsia="Times New Roman" w:cs="Times New Roman"/>
                <w:color w:val="000000"/>
                <w:lang w:val="id-ID" w:eastAsia="id-ID"/>
              </w:rPr>
              <w:t>bacaan fiksi dan nonfiksi.</w:t>
            </w:r>
          </w:p>
          <w:p>
            <w:pPr>
              <w:spacing w:after="0" w:line="240" w:lineRule="auto"/>
              <w:jc w:val="both"/>
              <w:rPr>
                <w:rFonts w:ascii="Times New Roman" w:hAnsi="Times New Roman" w:eastAsia="Times New Roman" w:cs="Times New Roman"/>
                <w:color w:val="000000"/>
              </w:rPr>
            </w:pPr>
          </w:p>
        </w:tc>
      </w:tr>
      <w:tr>
        <w:tblPrEx>
          <w:tblCellMar>
            <w:top w:w="0" w:type="dxa"/>
            <w:left w:w="108" w:type="dxa"/>
            <w:bottom w:w="0" w:type="dxa"/>
            <w:right w:w="108" w:type="dxa"/>
          </w:tblCellMar>
        </w:tblPrEx>
        <w:trPr>
          <w:trHeight w:val="275" w:hRule="atLeast"/>
        </w:trPr>
        <w:tc>
          <w:tcPr>
            <w:tcW w:w="3312" w:type="dxa"/>
            <w:gridSpan w:val="2"/>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PRASYARAT MATA KULIAH</w:t>
            </w:r>
          </w:p>
        </w:tc>
        <w:tc>
          <w:tcPr>
            <w:tcW w:w="11335" w:type="dxa"/>
            <w:gridSpan w:val="7"/>
            <w:tcBorders>
              <w:top w:val="single" w:color="auto" w:sz="4" w:space="0"/>
              <w:left w:val="nil"/>
              <w:bottom w:val="single" w:color="auto" w:sz="4" w:space="0"/>
              <w:right w:val="single" w:color="000000" w:sz="4" w:space="0"/>
            </w:tcBorders>
            <w:shd w:val="clear" w:color="auto" w:fill="auto"/>
            <w:noWrap/>
            <w:vAlign w:val="bottom"/>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rPr>
              <w:t>Mahasiswa mampu mengajar berkaitan dengan bahasa dan pembelajaran bahasa, pendekatan, metode, dan teknik dalam pengajaran bahasa Inggris sebagai bahasa, kompetensi bahasa komunikatif, pengajaran keterampilan dan komponen bahasa Inggris, strategi dalam proses belajar mengajar, merancang dan merencanakan pembelajaran, dan menguji siswa. .</w:t>
            </w:r>
            <w:r>
              <w:rPr>
                <w:rFonts w:ascii="Times New Roman" w:hAnsi="Times New Roman" w:eastAsia="Times New Roman" w:cs="Times New Roman"/>
                <w:color w:val="00000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227" w:hRule="atLeast"/>
        </w:trPr>
        <w:tc>
          <w:tcPr>
            <w:tcW w:w="3298" w:type="dxa"/>
            <w:vMerge w:val="restart"/>
          </w:tcPr>
          <w:p>
            <w:pPr>
              <w:ind w:left="-55"/>
              <w:rPr>
                <w:rFonts w:ascii="Times New Roman" w:hAnsi="Times New Roman" w:cs="Times New Roman"/>
              </w:rPr>
            </w:pPr>
          </w:p>
          <w:p>
            <w:pPr>
              <w:ind w:left="-55"/>
              <w:rPr>
                <w:rFonts w:ascii="Times New Roman" w:hAnsi="Times New Roman" w:cs="Times New Roman"/>
                <w:b/>
              </w:rPr>
            </w:pPr>
          </w:p>
          <w:p>
            <w:pPr>
              <w:ind w:left="-55"/>
              <w:jc w:val="center"/>
              <w:rPr>
                <w:rFonts w:ascii="Times New Roman" w:hAnsi="Times New Roman" w:cs="Times New Roman"/>
                <w:b/>
              </w:rPr>
            </w:pPr>
            <w:r>
              <w:rPr>
                <w:rFonts w:ascii="Times New Roman" w:hAnsi="Times New Roman" w:cs="Times New Roman"/>
                <w:b/>
              </w:rPr>
              <w:t>REFERENSI</w:t>
            </w:r>
          </w:p>
          <w:p>
            <w:pPr>
              <w:ind w:left="-55"/>
              <w:rPr>
                <w:rFonts w:ascii="Times New Roman" w:hAnsi="Times New Roman" w:cs="Times New Roman"/>
              </w:rPr>
            </w:pPr>
          </w:p>
        </w:tc>
        <w:tc>
          <w:tcPr>
            <w:tcW w:w="11335" w:type="dxa"/>
            <w:gridSpan w:val="7"/>
          </w:tcPr>
          <w:p>
            <w:pPr>
              <w:pStyle w:val="2"/>
              <w:numPr>
                <w:ilvl w:val="0"/>
                <w:numId w:val="1"/>
              </w:numPr>
              <w:shd w:val="clear" w:color="auto" w:fill="FFFFFF"/>
              <w:spacing w:before="0" w:beforeAutospacing="0" w:after="150" w:afterAutospacing="0" w:line="288" w:lineRule="atLeast"/>
              <w:ind w:left="180" w:leftChars="0" w:hanging="180" w:firstLineChars="0"/>
              <w:rPr>
                <w:rFonts w:eastAsia="Arial Unicode MS"/>
                <w:b w:val="0"/>
                <w:color w:val="000000"/>
                <w:sz w:val="22"/>
                <w:szCs w:val="22"/>
              </w:rPr>
            </w:pPr>
            <w:r>
              <w:rPr>
                <w:rFonts w:eastAsia="Arial Unicode MS"/>
                <w:b w:val="0"/>
                <w:color w:val="000000"/>
                <w:sz w:val="22"/>
                <w:szCs w:val="22"/>
              </w:rPr>
              <w:t>Amy W, Regina W. 2005. The Complete Idiot's Guide To Critical Reading. Penguin Books, New York.</w:t>
            </w:r>
            <w:r>
              <w:rPr>
                <w:rFonts w:eastAsia="Arial Unicode MS"/>
                <w:b w:val="0"/>
                <w:color w:val="000000"/>
                <w:sz w:val="22"/>
                <w:szCs w:val="22"/>
              </w:rPr>
              <w:tab/>
            </w:r>
            <w:r>
              <w:rPr>
                <w:rFonts w:eastAsia="Arial Unicode MS"/>
                <w:b w:val="0"/>
                <w:color w:val="000000"/>
                <w:sz w:val="22"/>
                <w:szCs w:val="22"/>
              </w:rPr>
              <w:t>Mickulecky, Jeffries.2007. Advanced Reading Power. USA: Pearson Education.</w:t>
            </w:r>
            <w:r>
              <w:rPr>
                <w:rFonts w:hint="default" w:eastAsia="Arial Unicode MS"/>
                <w:b w:val="0"/>
                <w:color w:val="000000"/>
                <w:sz w:val="22"/>
                <w:szCs w:val="22"/>
                <w:lang w:val="en-US"/>
              </w:rPr>
              <w:t xml:space="preserve"> </w:t>
            </w:r>
            <w:r>
              <w:rPr>
                <w:rFonts w:eastAsia="Arial Unicode MS"/>
                <w:b w:val="0"/>
                <w:color w:val="000000"/>
                <w:sz w:val="22"/>
                <w:szCs w:val="22"/>
              </w:rPr>
              <w:t xml:space="preserve">Shen, L. (2012). Context and Text. Theory and Practice in Language Studies, Vol. 2, No. 12, pp. 2663-2669.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543" w:hRule="atLeast"/>
        </w:trPr>
        <w:tc>
          <w:tcPr>
            <w:tcW w:w="3298" w:type="dxa"/>
            <w:vMerge w:val="continue"/>
          </w:tcPr>
          <w:p>
            <w:pPr>
              <w:ind w:left="-55"/>
              <w:rPr>
                <w:rFonts w:ascii="Times New Roman" w:hAnsi="Times New Roman" w:cs="Times New Roman"/>
              </w:rPr>
            </w:pPr>
          </w:p>
        </w:tc>
        <w:tc>
          <w:tcPr>
            <w:tcW w:w="11335" w:type="dxa"/>
            <w:gridSpan w:val="7"/>
          </w:tcPr>
          <w:p>
            <w:pPr>
              <w:rPr>
                <w:rFonts w:ascii="Times New Roman" w:hAnsi="Times New Roman" w:cs="Times New Roman"/>
              </w:rPr>
            </w:pPr>
            <w:r>
              <w:rPr>
                <w:rFonts w:ascii="Times New Roman" w:hAnsi="Times New Roman" w:cs="Times New Roman"/>
              </w:rPr>
              <w:t>2. Thomson Peterson. 2005. Peterson New SAT Critical reading Workbook. Thomson Peterson's, United States of America.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265" w:hRule="atLeast"/>
        </w:trPr>
        <w:tc>
          <w:tcPr>
            <w:tcW w:w="3298" w:type="dxa"/>
            <w:vMerge w:val="continue"/>
          </w:tcPr>
          <w:p>
            <w:pPr>
              <w:ind w:left="-55"/>
              <w:rPr>
                <w:rFonts w:ascii="Times New Roman" w:hAnsi="Times New Roman" w:cs="Times New Roman"/>
              </w:rPr>
            </w:pPr>
          </w:p>
        </w:tc>
        <w:tc>
          <w:tcPr>
            <w:tcW w:w="11335" w:type="dxa"/>
            <w:gridSpan w:val="7"/>
          </w:tcPr>
          <w:p>
            <w:pPr>
              <w:rPr>
                <w:rFonts w:ascii="Times New Roman" w:hAnsi="Times New Roman" w:cs="Times New Roman"/>
              </w:rPr>
            </w:pPr>
            <w:r>
              <w:rPr>
                <w:rFonts w:ascii="Times New Roman" w:hAnsi="Times New Roman" w:cs="Times New Roman"/>
              </w:rPr>
              <w:t xml:space="preserve"> 3.Wallace,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1758" w:hRule="atLeast"/>
        </w:trPr>
        <w:tc>
          <w:tcPr>
            <w:tcW w:w="14633" w:type="dxa"/>
            <w:gridSpan w:val="8"/>
            <w:tcBorders>
              <w:left w:val="nil"/>
              <w:bottom w:val="nil"/>
              <w:right w:val="nil"/>
            </w:tcBorders>
          </w:tcPr>
          <w:p>
            <w:pPr>
              <w:rPr>
                <w:rFonts w:ascii="Times New Roman" w:hAnsi="Times New Roman" w:cs="Times New Roman"/>
              </w:rPr>
            </w:pPr>
            <w:r>
              <w:rPr>
                <w:rFonts w:ascii="Times New Roman" w:hAnsi="Times New Roman" w:cs="Times New Roman"/>
              </w:rPr>
              <w:cr/>
            </w:r>
          </w:p>
          <w:p>
            <w:pPr>
              <w:rPr>
                <w:rFonts w:ascii="Times New Roman" w:hAnsi="Times New Roman" w:cs="Times New Roman"/>
              </w:rPr>
            </w:pPr>
          </w:p>
          <w:p>
            <w:pPr>
              <w:rPr>
                <w:rFonts w:ascii="Times New Roman" w:hAnsi="Times New Roman" w:cs="Times New Roman"/>
              </w:rPr>
            </w:pPr>
          </w:p>
        </w:tc>
      </w:tr>
    </w:tbl>
    <w:p/>
    <w:p/>
    <w:p/>
    <w:p/>
    <w:p/>
    <w:p/>
    <w:p/>
    <w:tbl>
      <w:tblPr>
        <w:tblStyle w:val="7"/>
        <w:tblpPr w:leftFromText="180" w:rightFromText="180" w:vertAnchor="text" w:horzAnchor="page" w:tblpX="727" w:tblpY="582"/>
        <w:tblOverlap w:val="never"/>
        <w:tblW w:w="15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671"/>
        <w:gridCol w:w="1874"/>
        <w:gridCol w:w="1604"/>
        <w:gridCol w:w="1628"/>
        <w:gridCol w:w="2333"/>
        <w:gridCol w:w="484"/>
        <w:gridCol w:w="494"/>
        <w:gridCol w:w="187"/>
        <w:gridCol w:w="924"/>
        <w:gridCol w:w="214"/>
        <w:gridCol w:w="1934"/>
        <w:gridCol w:w="342"/>
        <w:gridCol w:w="447"/>
        <w:gridCol w:w="406"/>
        <w:gridCol w:w="23"/>
        <w:gridCol w:w="885"/>
        <w:gridCol w:w="34"/>
        <w:gridCol w:w="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vMerge w:val="restart"/>
          </w:tcPr>
          <w:p>
            <w:pPr>
              <w:rPr>
                <w:rFonts w:ascii="Times New Roman" w:hAnsi="Times New Roman" w:cs="Times New Roman"/>
                <w:lang w:val="zh-CN"/>
              </w:rPr>
            </w:pPr>
            <w:r>
              <w:rPr>
                <w:rFonts w:ascii="Times New Roman" w:hAnsi="Times New Roman" w:cs="Times New Roman"/>
                <w:lang w:val="zh-CN"/>
              </w:rPr>
              <w:t xml:space="preserve">PERT </w:t>
            </w:r>
          </w:p>
          <w:p>
            <w:pPr>
              <w:rPr>
                <w:rFonts w:ascii="Times New Roman" w:hAnsi="Times New Roman" w:cs="Times New Roman"/>
                <w:lang w:val="zh-CN"/>
              </w:rPr>
            </w:pPr>
            <w:r>
              <w:rPr>
                <w:rFonts w:ascii="Times New Roman" w:hAnsi="Times New Roman" w:cs="Times New Roman"/>
                <w:lang w:val="zh-CN"/>
              </w:rPr>
              <w:t>KE</w:t>
            </w:r>
          </w:p>
        </w:tc>
        <w:tc>
          <w:tcPr>
            <w:tcW w:w="671" w:type="dxa"/>
            <w:vMerge w:val="restart"/>
          </w:tcPr>
          <w:p>
            <w:pPr>
              <w:jc w:val="center"/>
              <w:rPr>
                <w:rFonts w:ascii="Times New Roman" w:hAnsi="Times New Roman" w:cs="Times New Roman"/>
                <w:lang w:val="zh-CN"/>
              </w:rPr>
            </w:pPr>
            <w:r>
              <w:rPr>
                <w:rFonts w:ascii="Times New Roman" w:hAnsi="Times New Roman" w:cs="Times New Roman"/>
                <w:lang w:val="zh-CN"/>
              </w:rPr>
              <w:t>SESI</w:t>
            </w:r>
          </w:p>
        </w:tc>
        <w:tc>
          <w:tcPr>
            <w:tcW w:w="1874" w:type="dxa"/>
            <w:vMerge w:val="restart"/>
          </w:tcPr>
          <w:p>
            <w:pPr>
              <w:rPr>
                <w:rFonts w:ascii="Times New Roman" w:hAnsi="Times New Roman" w:cs="Times New Roman"/>
                <w:lang w:val="zh-CN"/>
              </w:rPr>
            </w:pPr>
            <w:r>
              <w:rPr>
                <w:rFonts w:ascii="Times New Roman" w:hAnsi="Times New Roman" w:cs="Times New Roman"/>
                <w:lang w:val="zh-CN"/>
              </w:rPr>
              <w:t>Kemampuan Akhir yang diharapkan (SUB CPMK)</w:t>
            </w:r>
          </w:p>
        </w:tc>
        <w:tc>
          <w:tcPr>
            <w:tcW w:w="1604" w:type="dxa"/>
            <w:vMerge w:val="restart"/>
          </w:tcPr>
          <w:p>
            <w:pPr>
              <w:rPr>
                <w:rFonts w:ascii="Times New Roman" w:hAnsi="Times New Roman" w:cs="Times New Roman"/>
                <w:lang w:val="zh-CN"/>
              </w:rPr>
            </w:pPr>
            <w:r>
              <w:rPr>
                <w:rFonts w:ascii="Times New Roman" w:hAnsi="Times New Roman" w:cs="Times New Roman"/>
                <w:lang w:val="zh-CN"/>
              </w:rPr>
              <w:t>Indikator Capaian</w:t>
            </w:r>
          </w:p>
        </w:tc>
        <w:tc>
          <w:tcPr>
            <w:tcW w:w="1628" w:type="dxa"/>
            <w:vMerge w:val="restart"/>
          </w:tcPr>
          <w:p>
            <w:pPr>
              <w:rPr>
                <w:rFonts w:ascii="Times New Roman" w:hAnsi="Times New Roman" w:cs="Times New Roman"/>
                <w:lang w:val="zh-CN"/>
              </w:rPr>
            </w:pPr>
            <w:r>
              <w:rPr>
                <w:rFonts w:ascii="Times New Roman" w:hAnsi="Times New Roman" w:cs="Times New Roman"/>
                <w:lang w:val="zh-CN"/>
              </w:rPr>
              <w:t>Bahan Kajian</w:t>
            </w:r>
          </w:p>
        </w:tc>
        <w:tc>
          <w:tcPr>
            <w:tcW w:w="2333" w:type="dxa"/>
            <w:vMerge w:val="restart"/>
          </w:tcPr>
          <w:p>
            <w:pPr>
              <w:rPr>
                <w:rFonts w:ascii="Times New Roman" w:hAnsi="Times New Roman" w:cs="Times New Roman"/>
                <w:lang w:val="zh-CN"/>
              </w:rPr>
            </w:pPr>
            <w:r>
              <w:rPr>
                <w:rFonts w:ascii="Times New Roman" w:hAnsi="Times New Roman" w:cs="Times New Roman"/>
                <w:lang w:val="zh-CN"/>
              </w:rPr>
              <w:t>Metode Pembelajaran dan Pengajaran Belajar</w:t>
            </w:r>
          </w:p>
        </w:tc>
        <w:tc>
          <w:tcPr>
            <w:tcW w:w="1165" w:type="dxa"/>
            <w:gridSpan w:val="3"/>
          </w:tcPr>
          <w:p>
            <w:pPr>
              <w:jc w:val="center"/>
              <w:rPr>
                <w:rFonts w:ascii="Times New Roman" w:hAnsi="Times New Roman" w:cs="Times New Roman"/>
                <w:lang w:val="zh-CN"/>
              </w:rPr>
            </w:pPr>
            <w:r>
              <w:rPr>
                <w:rFonts w:ascii="Times New Roman" w:hAnsi="Times New Roman" w:cs="Times New Roman"/>
                <w:lang w:val="zh-CN"/>
              </w:rPr>
              <w:t>Alokasi Waktu</w:t>
            </w:r>
          </w:p>
          <w:p>
            <w:pPr>
              <w:jc w:val="center"/>
              <w:rPr>
                <w:rFonts w:ascii="Times New Roman" w:hAnsi="Times New Roman" w:cs="Times New Roman"/>
                <w:lang w:val="zh-CN"/>
              </w:rPr>
            </w:pPr>
          </w:p>
        </w:tc>
        <w:tc>
          <w:tcPr>
            <w:tcW w:w="4290" w:type="dxa"/>
            <w:gridSpan w:val="7"/>
          </w:tcPr>
          <w:p>
            <w:pPr>
              <w:jc w:val="center"/>
              <w:rPr>
                <w:rFonts w:ascii="Times New Roman" w:hAnsi="Times New Roman" w:cs="Times New Roman"/>
                <w:lang w:val="zh-CN"/>
              </w:rPr>
            </w:pPr>
            <w:r>
              <w:rPr>
                <w:rFonts w:ascii="Times New Roman" w:hAnsi="Times New Roman" w:cs="Times New Roman"/>
                <w:lang w:val="zh-CN"/>
              </w:rPr>
              <w:t>Evaluasi /Penilaian</w:t>
            </w:r>
          </w:p>
        </w:tc>
        <w:tc>
          <w:tcPr>
            <w:tcW w:w="1400" w:type="dxa"/>
            <w:gridSpan w:val="3"/>
            <w:vMerge w:val="restart"/>
          </w:tcPr>
          <w:p>
            <w:pPr>
              <w:jc w:val="center"/>
              <w:rPr>
                <w:rFonts w:ascii="Times New Roman" w:hAnsi="Times New Roman" w:cs="Times New Roman"/>
                <w:lang w:val="zh-CN"/>
              </w:rPr>
            </w:pPr>
            <w:r>
              <w:rPr>
                <w:rFonts w:ascii="Times New Roman" w:hAnsi="Times New Roman" w:cs="Times New Roman"/>
                <w:lang w:val="zh-CN"/>
              </w:rPr>
              <w:t>Sumber Belajar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vMerge w:val="continue"/>
          </w:tcPr>
          <w:p>
            <w:pPr>
              <w:rPr>
                <w:rFonts w:ascii="Times New Roman" w:hAnsi="Times New Roman" w:cs="Times New Roman"/>
                <w:lang w:val="zh-CN"/>
              </w:rPr>
            </w:pPr>
          </w:p>
        </w:tc>
        <w:tc>
          <w:tcPr>
            <w:tcW w:w="671" w:type="dxa"/>
            <w:vMerge w:val="continue"/>
          </w:tcPr>
          <w:p>
            <w:pPr>
              <w:rPr>
                <w:rFonts w:ascii="Times New Roman" w:hAnsi="Times New Roman" w:cs="Times New Roman"/>
                <w:lang w:val="zh-CN"/>
              </w:rPr>
            </w:pPr>
          </w:p>
        </w:tc>
        <w:tc>
          <w:tcPr>
            <w:tcW w:w="1874" w:type="dxa"/>
            <w:vMerge w:val="continue"/>
          </w:tcPr>
          <w:p>
            <w:pPr>
              <w:rPr>
                <w:rFonts w:ascii="Times New Roman" w:hAnsi="Times New Roman" w:cs="Times New Roman"/>
                <w:lang w:val="zh-CN"/>
              </w:rPr>
            </w:pPr>
          </w:p>
        </w:tc>
        <w:tc>
          <w:tcPr>
            <w:tcW w:w="1604" w:type="dxa"/>
            <w:vMerge w:val="continue"/>
          </w:tcPr>
          <w:p>
            <w:pPr>
              <w:rPr>
                <w:rFonts w:ascii="Times New Roman" w:hAnsi="Times New Roman" w:cs="Times New Roman"/>
                <w:lang w:val="zh-CN"/>
              </w:rPr>
            </w:pPr>
          </w:p>
        </w:tc>
        <w:tc>
          <w:tcPr>
            <w:tcW w:w="1628" w:type="dxa"/>
            <w:vMerge w:val="continue"/>
          </w:tcPr>
          <w:p>
            <w:pPr>
              <w:rPr>
                <w:rFonts w:ascii="Times New Roman" w:hAnsi="Times New Roman" w:cs="Times New Roman"/>
                <w:lang w:val="zh-CN"/>
              </w:rPr>
            </w:pPr>
          </w:p>
        </w:tc>
        <w:tc>
          <w:tcPr>
            <w:tcW w:w="2333" w:type="dxa"/>
            <w:vMerge w:val="continue"/>
          </w:tcPr>
          <w:p>
            <w:pPr>
              <w:rPr>
                <w:rFonts w:ascii="Times New Roman" w:hAnsi="Times New Roman" w:cs="Times New Roman"/>
                <w:lang w:val="zh-CN"/>
              </w:rPr>
            </w:pPr>
          </w:p>
        </w:tc>
        <w:tc>
          <w:tcPr>
            <w:tcW w:w="484" w:type="dxa"/>
          </w:tcPr>
          <w:p>
            <w:pPr>
              <w:jc w:val="center"/>
              <w:rPr>
                <w:rFonts w:ascii="Times New Roman" w:hAnsi="Times New Roman" w:cs="Times New Roman"/>
                <w:lang w:val="zh-CN"/>
              </w:rPr>
            </w:pPr>
            <w:r>
              <w:rPr>
                <w:rFonts w:ascii="Times New Roman" w:hAnsi="Times New Roman" w:cs="Times New Roman"/>
                <w:lang w:val="zh-CN"/>
              </w:rPr>
              <w:t>T</w:t>
            </w:r>
          </w:p>
        </w:tc>
        <w:tc>
          <w:tcPr>
            <w:tcW w:w="681" w:type="dxa"/>
            <w:gridSpan w:val="2"/>
          </w:tcPr>
          <w:p>
            <w:pPr>
              <w:jc w:val="center"/>
              <w:rPr>
                <w:rFonts w:ascii="Times New Roman" w:hAnsi="Times New Roman" w:cs="Times New Roman"/>
                <w:lang w:val="zh-CN"/>
              </w:rPr>
            </w:pPr>
            <w:r>
              <w:rPr>
                <w:rFonts w:ascii="Times New Roman" w:hAnsi="Times New Roman" w:cs="Times New Roman"/>
                <w:lang w:val="zh-CN"/>
              </w:rPr>
              <w:t>P</w:t>
            </w:r>
          </w:p>
        </w:tc>
        <w:tc>
          <w:tcPr>
            <w:tcW w:w="1138" w:type="dxa"/>
            <w:gridSpan w:val="2"/>
          </w:tcPr>
          <w:p>
            <w:pPr>
              <w:rPr>
                <w:rFonts w:ascii="Times New Roman" w:hAnsi="Times New Roman" w:cs="Times New Roman"/>
                <w:lang w:val="zh-CN"/>
              </w:rPr>
            </w:pPr>
            <w:r>
              <w:rPr>
                <w:rFonts w:ascii="Times New Roman" w:hAnsi="Times New Roman" w:cs="Times New Roman"/>
                <w:lang w:val="zh-CN"/>
              </w:rPr>
              <w:t>Jenis</w:t>
            </w:r>
          </w:p>
        </w:tc>
        <w:tc>
          <w:tcPr>
            <w:tcW w:w="2276" w:type="dxa"/>
            <w:gridSpan w:val="2"/>
          </w:tcPr>
          <w:p>
            <w:pPr>
              <w:rPr>
                <w:rFonts w:ascii="Times New Roman" w:hAnsi="Times New Roman" w:cs="Times New Roman"/>
                <w:lang w:val="zh-CN"/>
              </w:rPr>
            </w:pPr>
            <w:r>
              <w:rPr>
                <w:rFonts w:ascii="Times New Roman" w:hAnsi="Times New Roman" w:cs="Times New Roman"/>
                <w:lang w:val="zh-CN"/>
              </w:rPr>
              <w:t>Kriteria</w:t>
            </w:r>
          </w:p>
        </w:tc>
        <w:tc>
          <w:tcPr>
            <w:tcW w:w="876" w:type="dxa"/>
            <w:gridSpan w:val="3"/>
          </w:tcPr>
          <w:p>
            <w:pPr>
              <w:rPr>
                <w:rFonts w:ascii="Times New Roman" w:hAnsi="Times New Roman" w:cs="Times New Roman"/>
                <w:lang w:val="zh-CN"/>
              </w:rPr>
            </w:pPr>
            <w:r>
              <w:rPr>
                <w:rFonts w:ascii="Times New Roman" w:hAnsi="Times New Roman" w:cs="Times New Roman"/>
                <w:lang w:val="zh-CN"/>
              </w:rPr>
              <w:t>Bobot (%)</w:t>
            </w:r>
          </w:p>
        </w:tc>
        <w:tc>
          <w:tcPr>
            <w:tcW w:w="1400" w:type="dxa"/>
            <w:gridSpan w:val="3"/>
            <w:vMerge w:val="continue"/>
          </w:tcPr>
          <w:p>
            <w:pPr>
              <w:rPr>
                <w:rFonts w:ascii="Times New Roman" w:hAnsi="Times New Roman" w:cs="Times New Roman"/>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jc w:val="center"/>
              <w:rPr>
                <w:rFonts w:ascii="Times New Roman" w:hAnsi="Times New Roman" w:cs="Times New Roman"/>
                <w:lang w:val="zh-CN"/>
              </w:rPr>
            </w:pPr>
            <w:r>
              <w:rPr>
                <w:rFonts w:ascii="Times New Roman" w:hAnsi="Times New Roman" w:cs="Times New Roman"/>
                <w:lang w:val="zh-CN"/>
              </w:rPr>
              <w:t>(1)</w:t>
            </w:r>
          </w:p>
        </w:tc>
        <w:tc>
          <w:tcPr>
            <w:tcW w:w="671" w:type="dxa"/>
          </w:tcPr>
          <w:p>
            <w:pPr>
              <w:jc w:val="center"/>
              <w:rPr>
                <w:rFonts w:ascii="Times New Roman" w:hAnsi="Times New Roman" w:cs="Times New Roman"/>
                <w:lang w:val="zh-CN"/>
              </w:rPr>
            </w:pPr>
            <w:r>
              <w:rPr>
                <w:rFonts w:ascii="Times New Roman" w:hAnsi="Times New Roman" w:cs="Times New Roman"/>
                <w:lang w:val="zh-CN"/>
              </w:rPr>
              <w:t>(2)</w:t>
            </w:r>
          </w:p>
        </w:tc>
        <w:tc>
          <w:tcPr>
            <w:tcW w:w="1874" w:type="dxa"/>
          </w:tcPr>
          <w:p>
            <w:pPr>
              <w:jc w:val="center"/>
              <w:rPr>
                <w:rFonts w:ascii="Times New Roman" w:hAnsi="Times New Roman" w:cs="Times New Roman"/>
                <w:lang w:val="zh-CN"/>
              </w:rPr>
            </w:pPr>
            <w:r>
              <w:rPr>
                <w:rFonts w:ascii="Times New Roman" w:hAnsi="Times New Roman" w:cs="Times New Roman"/>
                <w:lang w:val="zh-CN"/>
              </w:rPr>
              <w:t>(3)</w:t>
            </w:r>
          </w:p>
        </w:tc>
        <w:tc>
          <w:tcPr>
            <w:tcW w:w="1604" w:type="dxa"/>
          </w:tcPr>
          <w:p>
            <w:pPr>
              <w:jc w:val="center"/>
              <w:rPr>
                <w:rFonts w:ascii="Times New Roman" w:hAnsi="Times New Roman" w:cs="Times New Roman"/>
                <w:lang w:val="zh-CN"/>
              </w:rPr>
            </w:pPr>
            <w:r>
              <w:rPr>
                <w:rFonts w:ascii="Times New Roman" w:hAnsi="Times New Roman" w:cs="Times New Roman"/>
                <w:lang w:val="zh-CN"/>
              </w:rPr>
              <w:t>(4)</w:t>
            </w:r>
          </w:p>
        </w:tc>
        <w:tc>
          <w:tcPr>
            <w:tcW w:w="1628" w:type="dxa"/>
          </w:tcPr>
          <w:p>
            <w:pPr>
              <w:jc w:val="center"/>
              <w:rPr>
                <w:rFonts w:ascii="Times New Roman" w:hAnsi="Times New Roman" w:cs="Times New Roman"/>
                <w:lang w:val="zh-CN"/>
              </w:rPr>
            </w:pPr>
            <w:r>
              <w:rPr>
                <w:rFonts w:ascii="Times New Roman" w:hAnsi="Times New Roman" w:cs="Times New Roman"/>
                <w:lang w:val="zh-CN"/>
              </w:rPr>
              <w:t>(5)</w:t>
            </w:r>
          </w:p>
        </w:tc>
        <w:tc>
          <w:tcPr>
            <w:tcW w:w="2333" w:type="dxa"/>
          </w:tcPr>
          <w:p>
            <w:pPr>
              <w:jc w:val="center"/>
              <w:rPr>
                <w:rFonts w:ascii="Times New Roman" w:hAnsi="Times New Roman" w:cs="Times New Roman"/>
                <w:lang w:val="zh-CN"/>
              </w:rPr>
            </w:pPr>
            <w:r>
              <w:rPr>
                <w:rFonts w:ascii="Times New Roman" w:hAnsi="Times New Roman" w:cs="Times New Roman"/>
                <w:lang w:val="zh-CN"/>
              </w:rPr>
              <w:t>(6)</w:t>
            </w:r>
          </w:p>
        </w:tc>
        <w:tc>
          <w:tcPr>
            <w:tcW w:w="484" w:type="dxa"/>
          </w:tcPr>
          <w:p>
            <w:pPr>
              <w:jc w:val="center"/>
              <w:rPr>
                <w:rFonts w:ascii="Times New Roman" w:hAnsi="Times New Roman" w:cs="Times New Roman"/>
                <w:lang w:val="zh-CN"/>
              </w:rPr>
            </w:pPr>
            <w:r>
              <w:rPr>
                <w:rFonts w:ascii="Times New Roman" w:hAnsi="Times New Roman" w:cs="Times New Roman"/>
                <w:lang w:val="zh-CN"/>
              </w:rPr>
              <w:t>(7)</w:t>
            </w:r>
          </w:p>
        </w:tc>
        <w:tc>
          <w:tcPr>
            <w:tcW w:w="681" w:type="dxa"/>
            <w:gridSpan w:val="2"/>
          </w:tcPr>
          <w:p>
            <w:pPr>
              <w:jc w:val="center"/>
              <w:rPr>
                <w:rFonts w:ascii="Times New Roman" w:hAnsi="Times New Roman" w:cs="Times New Roman"/>
                <w:lang w:val="zh-CN"/>
              </w:rPr>
            </w:pPr>
            <w:r>
              <w:rPr>
                <w:rFonts w:ascii="Times New Roman" w:hAnsi="Times New Roman" w:cs="Times New Roman"/>
                <w:lang w:val="zh-CN"/>
              </w:rPr>
              <w:t>(8)</w:t>
            </w:r>
          </w:p>
        </w:tc>
        <w:tc>
          <w:tcPr>
            <w:tcW w:w="1138" w:type="dxa"/>
            <w:gridSpan w:val="2"/>
          </w:tcPr>
          <w:p>
            <w:pPr>
              <w:jc w:val="center"/>
              <w:rPr>
                <w:rFonts w:ascii="Times New Roman" w:hAnsi="Times New Roman" w:cs="Times New Roman"/>
                <w:lang w:val="zh-CN"/>
              </w:rPr>
            </w:pPr>
            <w:r>
              <w:rPr>
                <w:rFonts w:ascii="Times New Roman" w:hAnsi="Times New Roman" w:cs="Times New Roman"/>
                <w:lang w:val="zh-CN"/>
              </w:rPr>
              <w:t>(9)</w:t>
            </w:r>
          </w:p>
        </w:tc>
        <w:tc>
          <w:tcPr>
            <w:tcW w:w="2276" w:type="dxa"/>
            <w:gridSpan w:val="2"/>
          </w:tcPr>
          <w:p>
            <w:pPr>
              <w:jc w:val="center"/>
              <w:rPr>
                <w:rFonts w:ascii="Times New Roman" w:hAnsi="Times New Roman" w:cs="Times New Roman"/>
                <w:lang w:val="zh-CN"/>
              </w:rPr>
            </w:pPr>
            <w:r>
              <w:rPr>
                <w:rFonts w:ascii="Times New Roman" w:hAnsi="Times New Roman" w:cs="Times New Roman"/>
                <w:lang w:val="zh-CN"/>
              </w:rPr>
              <w:t>(10)</w:t>
            </w:r>
          </w:p>
        </w:tc>
        <w:tc>
          <w:tcPr>
            <w:tcW w:w="853" w:type="dxa"/>
            <w:gridSpan w:val="2"/>
          </w:tcPr>
          <w:p>
            <w:pPr>
              <w:jc w:val="center"/>
              <w:rPr>
                <w:rFonts w:ascii="Times New Roman" w:hAnsi="Times New Roman" w:cs="Times New Roman"/>
                <w:lang w:val="zh-CN"/>
              </w:rPr>
            </w:pPr>
            <w:r>
              <w:rPr>
                <w:rFonts w:ascii="Times New Roman" w:hAnsi="Times New Roman" w:cs="Times New Roman"/>
                <w:lang w:val="zh-CN"/>
              </w:rPr>
              <w:t>(11)</w:t>
            </w:r>
          </w:p>
        </w:tc>
        <w:tc>
          <w:tcPr>
            <w:tcW w:w="1423" w:type="dxa"/>
            <w:gridSpan w:val="4"/>
          </w:tcPr>
          <w:p>
            <w:pPr>
              <w:jc w:val="center"/>
              <w:rPr>
                <w:rFonts w:ascii="Times New Roman" w:hAnsi="Times New Roman" w:cs="Times New Roman"/>
                <w:lang w:val="zh-CN"/>
              </w:rPr>
            </w:pPr>
            <w:r>
              <w:rPr>
                <w:rFonts w:ascii="Times New Roman" w:hAnsi="Times New Roman" w:cs="Times New Roman"/>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1.</w:t>
            </w:r>
          </w:p>
        </w:tc>
        <w:tc>
          <w:tcPr>
            <w:tcW w:w="671" w:type="dxa"/>
          </w:tcPr>
          <w:p>
            <w:pPr>
              <w:rPr>
                <w:rFonts w:ascii="Times New Roman" w:hAnsi="Times New Roman" w:cs="Times New Roman"/>
                <w:lang w:val="zh-CN"/>
              </w:rPr>
            </w:pPr>
            <w:r>
              <w:rPr>
                <w:rFonts w:ascii="Times New Roman" w:hAnsi="Times New Roman" w:cs="Times New Roman"/>
                <w:lang w:val="zh-CN"/>
              </w:rPr>
              <w:t>1</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 xml:space="preserve">Mahasiswa mampu menjelaskan deskripsi  Critical Reading </w:t>
            </w:r>
          </w:p>
        </w:tc>
        <w:tc>
          <w:tcPr>
            <w:tcW w:w="1604" w:type="dxa"/>
          </w:tcPr>
          <w:p>
            <w:pPr>
              <w:pStyle w:val="6"/>
              <w:spacing w:after="0"/>
              <w:jc w:val="both"/>
              <w:rPr>
                <w:rFonts w:hint="default"/>
                <w:color w:val="000000"/>
                <w:sz w:val="22"/>
                <w:szCs w:val="22"/>
                <w:lang w:val="en-US"/>
              </w:rPr>
            </w:pPr>
            <w:r>
              <w:rPr>
                <w:rFonts w:hint="default"/>
                <w:color w:val="000000"/>
                <w:sz w:val="22"/>
                <w:szCs w:val="22"/>
                <w:lang w:val="en-US"/>
              </w:rPr>
              <w:t>Mendeskripsikan dan menjelaskan apa itu Critical Reading</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Introduction to Critical Reading</w:t>
            </w:r>
          </w:p>
          <w:p>
            <w:pPr>
              <w:rPr>
                <w:rFonts w:ascii="Times New Roman" w:hAnsi="Times New Roman" w:cs="Times New Roman"/>
                <w:color w:val="000000"/>
                <w:lang w:val="zh-CN"/>
              </w:rPr>
            </w:pPr>
          </w:p>
        </w:tc>
        <w:tc>
          <w:tcPr>
            <w:tcW w:w="2333" w:type="dxa"/>
          </w:tcPr>
          <w:p>
            <w:pPr>
              <w:numPr>
                <w:ilvl w:val="0"/>
                <w:numId w:val="2"/>
              </w:numPr>
              <w:tabs>
                <w:tab w:val="left" w:pos="144"/>
                <w:tab w:val="clear" w:pos="720"/>
              </w:tabs>
              <w:spacing w:after="0" w:line="240" w:lineRule="auto"/>
              <w:ind w:hanging="718"/>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2"/>
              </w:numPr>
              <w:tabs>
                <w:tab w:val="left" w:pos="144"/>
                <w:tab w:val="clear" w:pos="720"/>
              </w:tabs>
              <w:spacing w:after="0" w:line="240" w:lineRule="auto"/>
              <w:ind w:hanging="718"/>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2"/>
              </w:numPr>
              <w:tabs>
                <w:tab w:val="left" w:pos="144"/>
                <w:tab w:val="clear" w:pos="720"/>
              </w:tabs>
              <w:spacing w:after="0" w:line="240" w:lineRule="auto"/>
              <w:ind w:left="144" w:hanging="142"/>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p>
            <w:pPr>
              <w:rPr>
                <w:rFonts w:ascii="Times New Roman" w:hAnsi="Times New Roman" w:cs="Times New Roman"/>
                <w:lang w:val="zh-CN"/>
              </w:rPr>
            </w:pP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dan tertulis</w:t>
            </w:r>
          </w:p>
        </w:tc>
        <w:tc>
          <w:tcPr>
            <w:tcW w:w="2276" w:type="dxa"/>
            <w:gridSpan w:val="2"/>
          </w:tcPr>
          <w:p>
            <w:pPr>
              <w:pStyle w:val="6"/>
              <w:spacing w:after="0"/>
              <w:jc w:val="both"/>
              <w:rPr>
                <w:color w:val="000000"/>
                <w:sz w:val="22"/>
                <w:szCs w:val="22"/>
              </w:rPr>
            </w:pPr>
            <w:r>
              <w:rPr>
                <w:color w:val="000000"/>
                <w:sz w:val="22"/>
                <w:szCs w:val="22"/>
                <w:lang w:val="id-ID"/>
              </w:rPr>
              <w:t>Ketepatan menjawab pertanyaan dan</w:t>
            </w:r>
            <w:r>
              <w:rPr>
                <w:rFonts w:hint="default"/>
                <w:color w:val="000000"/>
                <w:sz w:val="22"/>
                <w:szCs w:val="22"/>
                <w:lang w:val="en-US"/>
              </w:rPr>
              <w:t xml:space="preserve"> </w:t>
            </w:r>
            <w:r>
              <w:rPr>
                <w:color w:val="000000"/>
                <w:sz w:val="22"/>
                <w:szCs w:val="22"/>
                <w:lang w:val="id-ID"/>
              </w:rPr>
              <w:t>m</w:t>
            </w:r>
            <w:r>
              <w:rPr>
                <w:rFonts w:hint="default"/>
                <w:color w:val="000000"/>
                <w:sz w:val="22"/>
                <w:szCs w:val="22"/>
                <w:lang w:val="en-US"/>
              </w:rPr>
              <w:t>e</w:t>
            </w:r>
            <w:r>
              <w:rPr>
                <w:rFonts w:hint="default"/>
                <w:color w:val="000000"/>
                <w:sz w:val="22"/>
                <w:szCs w:val="22"/>
                <w:rtl w:val="0"/>
                <w:lang w:val="en-US"/>
              </w:rPr>
              <w:t>n</w:t>
            </w:r>
            <w:r>
              <w:rPr>
                <w:color w:val="000000"/>
                <w:sz w:val="22"/>
                <w:szCs w:val="22"/>
                <w:lang w:val="id-ID"/>
              </w:rPr>
              <w:t>jelaskan deskripsi materi</w:t>
            </w:r>
          </w:p>
          <w:p>
            <w:pPr>
              <w:rPr>
                <w:rFonts w:ascii="Times New Roman" w:hAnsi="Times New Roman" w:cs="Times New Roman"/>
                <w:lang w:val="zh-CN"/>
              </w:rPr>
            </w:pP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2.</w:t>
            </w:r>
          </w:p>
        </w:tc>
        <w:tc>
          <w:tcPr>
            <w:tcW w:w="671" w:type="dxa"/>
          </w:tcPr>
          <w:p>
            <w:pPr>
              <w:rPr>
                <w:rFonts w:ascii="Times New Roman" w:hAnsi="Times New Roman" w:cs="Times New Roman"/>
                <w:lang w:val="zh-CN"/>
              </w:rPr>
            </w:pPr>
            <w:r>
              <w:rPr>
                <w:rFonts w:ascii="Times New Roman" w:hAnsi="Times New Roman" w:cs="Times New Roman"/>
                <w:lang w:val="zh-CN"/>
              </w:rPr>
              <w:t>2</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 xml:space="preserve">Mahasiswa mampu merefleksikan pengalaman  membaca mereka dan tujuan dari kegiatan membaca tersebut.  Mahasiswa  juga mengetahui pentingnya membaca cepat.  Mahasiswa mengetahui tingkat kecepatan membaca mereka. </w:t>
            </w:r>
          </w:p>
          <w:p>
            <w:pPr>
              <w:rPr>
                <w:rFonts w:ascii="Times New Roman" w:hAnsi="Times New Roman" w:cs="Times New Roman"/>
                <w:color w:val="000000"/>
                <w:lang w:val="zh-CN"/>
              </w:rPr>
            </w:pPr>
          </w:p>
        </w:tc>
        <w:tc>
          <w:tcPr>
            <w:tcW w:w="1604" w:type="dxa"/>
          </w:tcPr>
          <w:p>
            <w:pPr>
              <w:rPr>
                <w:rFonts w:hint="default" w:ascii="Times New Roman" w:hAnsi="Times New Roman" w:cs="Times New Roman"/>
                <w:color w:val="000000"/>
                <w:lang w:val="en-US"/>
              </w:rPr>
            </w:pPr>
            <w:r>
              <w:rPr>
                <w:rFonts w:hint="default" w:ascii="Times New Roman" w:hAnsi="Times New Roman" w:cs="Times New Roman"/>
                <w:color w:val="000000"/>
                <w:lang w:val="en-US"/>
              </w:rPr>
              <w:t>Mengetahui bagaimana cara peningkatan membaca yang baik dan benar</w:t>
            </w:r>
          </w:p>
          <w:p>
            <w:pPr>
              <w:rPr>
                <w:rFonts w:ascii="Times New Roman" w:hAnsi="Times New Roman" w:cs="Times New Roman"/>
                <w:color w:val="000000"/>
                <w:lang w:val="zh-CN"/>
              </w:rPr>
            </w:pP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 xml:space="preserve">Reflecting on Your Reading  </w:t>
            </w:r>
          </w:p>
        </w:tc>
        <w:tc>
          <w:tcPr>
            <w:tcW w:w="2333" w:type="dxa"/>
          </w:tcPr>
          <w:p>
            <w:pPr>
              <w:pStyle w:val="6"/>
              <w:numPr>
                <w:ilvl w:val="0"/>
                <w:numId w:val="3"/>
              </w:numPr>
              <w:spacing w:before="0" w:beforeAutospacing="0" w:after="0" w:afterAutospacing="0"/>
              <w:textAlignment w:val="baseline"/>
              <w:rPr>
                <w:color w:val="000000"/>
                <w:sz w:val="22"/>
                <w:szCs w:val="22"/>
              </w:rPr>
            </w:pPr>
            <w:r>
              <w:rPr>
                <w:color w:val="000000"/>
                <w:sz w:val="22"/>
                <w:szCs w:val="22"/>
              </w:rPr>
              <w:t>Lecturing </w:t>
            </w:r>
          </w:p>
          <w:p>
            <w:pPr>
              <w:pStyle w:val="6"/>
              <w:numPr>
                <w:ilvl w:val="0"/>
                <w:numId w:val="3"/>
              </w:numPr>
              <w:spacing w:before="0" w:beforeAutospacing="0" w:after="0" w:afterAutospacing="0"/>
              <w:textAlignment w:val="baseline"/>
              <w:rPr>
                <w:color w:val="000000"/>
                <w:sz w:val="22"/>
                <w:szCs w:val="22"/>
              </w:rPr>
            </w:pPr>
            <w:r>
              <w:rPr>
                <w:color w:val="000000"/>
                <w:sz w:val="22"/>
                <w:szCs w:val="22"/>
              </w:rPr>
              <w:t>Discussion</w:t>
            </w:r>
          </w:p>
          <w:p>
            <w:pPr>
              <w:pStyle w:val="6"/>
              <w:numPr>
                <w:ilvl w:val="0"/>
                <w:numId w:val="3"/>
              </w:numPr>
              <w:spacing w:before="0" w:beforeAutospacing="0" w:after="0" w:afterAutospacing="0"/>
              <w:textAlignment w:val="baseline"/>
              <w:rPr>
                <w:color w:val="000000"/>
                <w:sz w:val="22"/>
                <w:szCs w:val="22"/>
              </w:rPr>
            </w:pPr>
            <w:r>
              <w:rPr>
                <w:color w:val="000000"/>
                <w:sz w:val="22"/>
                <w:szCs w:val="22"/>
              </w:rPr>
              <w:t>Writing the conclusion</w:t>
            </w:r>
          </w:p>
          <w:p>
            <w:pPr>
              <w:rPr>
                <w:rFonts w:ascii="Times New Roman" w:hAnsi="Times New Roman" w:cs="Times New Roman"/>
                <w:lang w:val="zh-CN"/>
              </w:rPr>
            </w:pP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dan tertulis</w:t>
            </w:r>
          </w:p>
        </w:tc>
        <w:tc>
          <w:tcPr>
            <w:tcW w:w="2276" w:type="dxa"/>
            <w:gridSpan w:val="2"/>
          </w:tcPr>
          <w:p>
            <w:pPr>
              <w:pStyle w:val="6"/>
              <w:spacing w:after="0"/>
              <w:jc w:val="both"/>
              <w:rPr>
                <w:color w:val="000000"/>
                <w:sz w:val="22"/>
                <w:szCs w:val="22"/>
              </w:rPr>
            </w:pPr>
            <w:r>
              <w:rPr>
                <w:color w:val="000000"/>
                <w:sz w:val="22"/>
                <w:szCs w:val="22"/>
                <w:lang w:val="id-ID"/>
              </w:rPr>
              <w:t>Ketepatan menjawab pertanyaan dan</w:t>
            </w:r>
            <w:r>
              <w:rPr>
                <w:rFonts w:hint="default"/>
                <w:color w:val="000000"/>
                <w:sz w:val="22"/>
                <w:szCs w:val="22"/>
                <w:lang w:val="en-US"/>
              </w:rPr>
              <w:t xml:space="preserve"> </w:t>
            </w:r>
            <w:r>
              <w:rPr>
                <w:color w:val="000000"/>
                <w:sz w:val="22"/>
                <w:szCs w:val="22"/>
                <w:lang w:val="id-ID"/>
              </w:rPr>
              <w:t>m</w:t>
            </w:r>
            <w:r>
              <w:rPr>
                <w:rFonts w:hint="default"/>
                <w:color w:val="000000"/>
                <w:sz w:val="22"/>
                <w:szCs w:val="22"/>
                <w:lang w:val="en-US"/>
              </w:rPr>
              <w:t>e</w:t>
            </w:r>
            <w:r>
              <w:rPr>
                <w:rFonts w:hint="default"/>
                <w:color w:val="000000"/>
                <w:sz w:val="22"/>
                <w:szCs w:val="22"/>
                <w:rtl w:val="0"/>
                <w:lang w:val="en-US"/>
              </w:rPr>
              <w:t>n</w:t>
            </w:r>
            <w:r>
              <w:rPr>
                <w:color w:val="000000"/>
                <w:sz w:val="22"/>
                <w:szCs w:val="22"/>
                <w:lang w:val="id-ID"/>
              </w:rPr>
              <w:t>jelaskan deskripsi materi</w:t>
            </w:r>
          </w:p>
          <w:p>
            <w:pPr>
              <w:rPr>
                <w:rFonts w:ascii="Times New Roman" w:hAnsi="Times New Roman" w:cs="Times New Roman"/>
                <w:lang w:val="zh-CN"/>
              </w:rPr>
            </w:pP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3.</w:t>
            </w:r>
          </w:p>
        </w:tc>
        <w:tc>
          <w:tcPr>
            <w:tcW w:w="671" w:type="dxa"/>
          </w:tcPr>
          <w:p>
            <w:pPr>
              <w:rPr>
                <w:rFonts w:ascii="Times New Roman" w:hAnsi="Times New Roman" w:cs="Times New Roman"/>
                <w:lang w:val="zh-CN"/>
              </w:rPr>
            </w:pPr>
            <w:r>
              <w:rPr>
                <w:rFonts w:ascii="Times New Roman" w:hAnsi="Times New Roman" w:cs="Times New Roman"/>
                <w:lang w:val="zh-CN"/>
              </w:rPr>
              <w:t>3</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Mahasiswa mampu mengidentifikasi komponen-komponen dari fiksi dan cara menjawab pertanyaan pertanyaan yang diberikan.</w:t>
            </w:r>
          </w:p>
        </w:tc>
        <w:tc>
          <w:tcPr>
            <w:tcW w:w="1604" w:type="dxa"/>
          </w:tcPr>
          <w:p>
            <w:pPr>
              <w:rPr>
                <w:rFonts w:hint="default" w:ascii="Times New Roman" w:hAnsi="Times New Roman" w:cs="Times New Roman"/>
                <w:color w:val="000000"/>
                <w:lang w:val="en-US"/>
              </w:rPr>
            </w:pPr>
            <w:r>
              <w:rPr>
                <w:rFonts w:hint="default" w:ascii="Times New Roman" w:hAnsi="Times New Roman" w:cs="Times New Roman"/>
                <w:color w:val="000000"/>
                <w:lang w:val="en-US"/>
              </w:rPr>
              <w:t>Mengidentifikasi komponen-komponen dari fiks</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 xml:space="preserve">Reading and Discussing Fiction </w:t>
            </w:r>
          </w:p>
          <w:p>
            <w:pPr>
              <w:rPr>
                <w:rFonts w:ascii="Times New Roman" w:hAnsi="Times New Roman" w:cs="Times New Roman"/>
                <w:color w:val="000000"/>
                <w:lang w:val="zh-CN"/>
              </w:rPr>
            </w:pPr>
          </w:p>
        </w:tc>
        <w:tc>
          <w:tcPr>
            <w:tcW w:w="2333" w:type="dxa"/>
          </w:tcPr>
          <w:p>
            <w:pPr>
              <w:numPr>
                <w:ilvl w:val="0"/>
                <w:numId w:val="4"/>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4"/>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4"/>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p>
            <w:pPr>
              <w:rPr>
                <w:rFonts w:ascii="Times New Roman" w:hAnsi="Times New Roman" w:cs="Times New Roman"/>
                <w:lang w:val="zh-CN"/>
              </w:rPr>
            </w:pP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tc>
        <w:tc>
          <w:tcPr>
            <w:tcW w:w="2276" w:type="dxa"/>
            <w:gridSpan w:val="2"/>
          </w:tcPr>
          <w:p>
            <w:pPr>
              <w:rPr>
                <w:rFonts w:hint="default" w:ascii="Times New Roman" w:hAnsi="Times New Roman" w:cs="Times New Roman"/>
                <w:lang w:val="en-US"/>
              </w:rPr>
            </w:pPr>
            <w:r>
              <w:rPr>
                <w:rFonts w:hint="default" w:ascii="Times New Roman" w:hAnsi="Times New Roman" w:cs="Times New Roman"/>
                <w:lang w:val="en-US"/>
              </w:rPr>
              <w:t>Ketepatan  menjawab pertanyaan dan menyampaikan pendapat</w:t>
            </w: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spacing w:after="0"/>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p>
            <w:pPr>
              <w:rPr>
                <w:rFonts w:ascii="Times New Roman" w:hAnsi="Times New Roman" w:cs="Times New Roman"/>
                <w:color w:val="000000"/>
                <w:lang w:val="zh-CN"/>
              </w:rPr>
            </w:pPr>
          </w:p>
          <w:p>
            <w:pPr>
              <w:rPr>
                <w:rFonts w:ascii="Times New Roman" w:hAnsi="Times New Roman" w:cs="Times New Roman"/>
                <w:color w:val="000000"/>
                <w:lang w:val="zh-CN"/>
              </w:rPr>
            </w:pPr>
          </w:p>
          <w:p>
            <w:pPr>
              <w:rPr>
                <w:rFonts w:ascii="Times New Roman" w:hAnsi="Times New Roman" w:cs="Times New Roman"/>
                <w:color w:val="000000"/>
                <w:lang w:val="zh-CN"/>
              </w:rPr>
            </w:pPr>
          </w:p>
          <w:p>
            <w:pPr>
              <w:rPr>
                <w:rFonts w:ascii="Times New Roman" w:hAnsi="Times New Roman" w:cs="Times New Roman"/>
                <w:color w:val="000000"/>
                <w:lang w:val="zh-CN"/>
              </w:rPr>
            </w:pPr>
          </w:p>
          <w:p>
            <w:pPr>
              <w:rPr>
                <w:rFonts w:ascii="Times New Roman" w:hAnsi="Times New Roman" w:cs="Times New Roman"/>
                <w:color w:val="000000"/>
                <w:lang w:val="zh-CN"/>
              </w:rPr>
            </w:pPr>
          </w:p>
          <w:p>
            <w:pPr>
              <w:rPr>
                <w:rFonts w:ascii="Times New Roman" w:hAnsi="Times New Roman" w:cs="Times New Roman"/>
                <w:color w:val="000000"/>
                <w:lang w:val="zh-CN"/>
              </w:rPr>
            </w:pPr>
          </w:p>
          <w:p>
            <w:pPr>
              <w:rPr>
                <w:rFonts w:ascii="Times New Roman" w:hAnsi="Times New Roman" w:cs="Times New Roman"/>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4.</w:t>
            </w:r>
          </w:p>
        </w:tc>
        <w:tc>
          <w:tcPr>
            <w:tcW w:w="671" w:type="dxa"/>
          </w:tcPr>
          <w:p>
            <w:pPr>
              <w:rPr>
                <w:rFonts w:ascii="Times New Roman" w:hAnsi="Times New Roman" w:cs="Times New Roman"/>
                <w:lang w:val="zh-CN"/>
              </w:rPr>
            </w:pPr>
            <w:r>
              <w:rPr>
                <w:rFonts w:ascii="Times New Roman" w:hAnsi="Times New Roman" w:cs="Times New Roman"/>
                <w:lang w:val="zh-CN"/>
              </w:rPr>
              <w:t>4</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Mahasiswa mampu memahami naskah fiksi secara kritis dengan cara merespon terhadap pertanyaan yang berfokus pada refleksi bacaan secara mendalam.</w:t>
            </w:r>
          </w:p>
          <w:p>
            <w:pPr>
              <w:rPr>
                <w:rFonts w:ascii="Times New Roman" w:hAnsi="Times New Roman" w:cs="Times New Roman"/>
                <w:color w:val="000000"/>
                <w:lang w:val="zh-CN"/>
              </w:rPr>
            </w:pPr>
          </w:p>
        </w:tc>
        <w:tc>
          <w:tcPr>
            <w:tcW w:w="1604" w:type="dxa"/>
          </w:tcPr>
          <w:p>
            <w:pPr>
              <w:rPr>
                <w:rFonts w:ascii="Times New Roman" w:hAnsi="Times New Roman" w:cs="Times New Roman"/>
                <w:color w:val="000000"/>
                <w:lang w:val="zh-CN"/>
              </w:rPr>
            </w:pPr>
            <w:r>
              <w:rPr>
                <w:rFonts w:hint="default" w:ascii="Times New Roman" w:hAnsi="Times New Roman" w:cs="Times New Roman"/>
                <w:color w:val="000000"/>
                <w:lang w:val="en-US"/>
              </w:rPr>
              <w:t>M</w:t>
            </w:r>
            <w:r>
              <w:rPr>
                <w:rFonts w:ascii="Times New Roman" w:hAnsi="Times New Roman" w:cs="Times New Roman"/>
                <w:color w:val="000000"/>
                <w:lang w:val="zh-CN"/>
              </w:rPr>
              <w:t xml:space="preserve">emahami naskah fiksi secara kritis </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eastAsia="id-ID"/>
              </w:rPr>
              <w:t xml:space="preserve">Responding to Fiction </w:t>
            </w:r>
          </w:p>
          <w:p>
            <w:pPr>
              <w:rPr>
                <w:rFonts w:ascii="Times New Roman" w:hAnsi="Times New Roman" w:cs="Times New Roman"/>
                <w:color w:val="000000"/>
                <w:lang w:val="zh-CN"/>
              </w:rPr>
            </w:pP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p>
            <w:pPr>
              <w:rPr>
                <w:rFonts w:ascii="Times New Roman" w:hAnsi="Times New Roman" w:cs="Times New Roman"/>
                <w:lang w:val="zh-CN"/>
              </w:rPr>
            </w:pP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tc>
        <w:tc>
          <w:tcPr>
            <w:tcW w:w="2276" w:type="dxa"/>
            <w:gridSpan w:val="2"/>
          </w:tcPr>
          <w:p>
            <w:pPr>
              <w:rPr>
                <w:rFonts w:ascii="Times New Roman" w:hAnsi="Times New Roman" w:cs="Times New Roman"/>
                <w:lang w:val="zh-CN"/>
              </w:rPr>
            </w:pPr>
            <w:r>
              <w:rPr>
                <w:rFonts w:ascii="Times New Roman" w:hAnsi="Times New Roman" w:cs="Times New Roman"/>
                <w:lang w:val="zh-CN"/>
              </w:rPr>
              <w:t xml:space="preserve">Ketepatan dalam menjawab dan merespon pertanyaan </w:t>
            </w: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792" w:type="dxa"/>
          </w:tcPr>
          <w:p>
            <w:pPr>
              <w:rPr>
                <w:rFonts w:ascii="Times New Roman" w:hAnsi="Times New Roman" w:cs="Times New Roman"/>
                <w:lang w:val="zh-CN"/>
              </w:rPr>
            </w:pPr>
            <w:r>
              <w:rPr>
                <w:rFonts w:ascii="Times New Roman" w:hAnsi="Times New Roman" w:cs="Times New Roman"/>
                <w:lang w:val="zh-CN"/>
              </w:rPr>
              <w:t>5.</w:t>
            </w:r>
          </w:p>
        </w:tc>
        <w:tc>
          <w:tcPr>
            <w:tcW w:w="671" w:type="dxa"/>
          </w:tcPr>
          <w:p>
            <w:pPr>
              <w:rPr>
                <w:rFonts w:ascii="Times New Roman" w:hAnsi="Times New Roman" w:cs="Times New Roman"/>
                <w:lang w:val="zh-CN"/>
              </w:rPr>
            </w:pPr>
            <w:r>
              <w:rPr>
                <w:rFonts w:ascii="Times New Roman" w:hAnsi="Times New Roman" w:cs="Times New Roman"/>
                <w:lang w:val="zh-CN"/>
              </w:rPr>
              <w:t>5</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 xml:space="preserve">Mahasiswa mampu membuat laporan mengenai bacaan fiksi dengan struktur: </w:t>
            </w:r>
          </w:p>
          <w:p>
            <w:pPr>
              <w:rPr>
                <w:rFonts w:ascii="Times New Roman" w:hAnsi="Times New Roman" w:cs="Times New Roman"/>
                <w:color w:val="000000"/>
                <w:lang w:val="zh-CN"/>
              </w:rPr>
            </w:pPr>
            <w:r>
              <w:rPr>
                <w:rFonts w:ascii="Times New Roman" w:hAnsi="Times New Roman" w:cs="Times New Roman"/>
                <w:color w:val="000000"/>
                <w:lang w:val="zh-CN"/>
              </w:rPr>
              <w:t>1. Introduction</w:t>
            </w:r>
          </w:p>
          <w:p>
            <w:pPr>
              <w:rPr>
                <w:rFonts w:ascii="Times New Roman" w:hAnsi="Times New Roman" w:cs="Times New Roman"/>
                <w:color w:val="000000"/>
                <w:lang w:val="zh-CN"/>
              </w:rPr>
            </w:pPr>
            <w:r>
              <w:rPr>
                <w:rFonts w:ascii="Times New Roman" w:hAnsi="Times New Roman" w:cs="Times New Roman"/>
                <w:color w:val="000000"/>
                <w:lang w:val="zh-CN"/>
              </w:rPr>
              <w:t xml:space="preserve">2. Summary of the story </w:t>
            </w:r>
          </w:p>
          <w:p>
            <w:pPr>
              <w:rPr>
                <w:rFonts w:ascii="Times New Roman" w:hAnsi="Times New Roman" w:cs="Times New Roman"/>
                <w:color w:val="000000"/>
                <w:lang w:val="zh-CN"/>
              </w:rPr>
            </w:pPr>
            <w:r>
              <w:rPr>
                <w:rFonts w:ascii="Times New Roman" w:hAnsi="Times New Roman" w:cs="Times New Roman"/>
                <w:color w:val="000000"/>
                <w:lang w:val="zh-CN"/>
              </w:rPr>
              <w:t xml:space="preserve">3.Book Details: characters, theme, plot and setting </w:t>
            </w:r>
          </w:p>
          <w:p>
            <w:pPr>
              <w:rPr>
                <w:rFonts w:ascii="Times New Roman" w:hAnsi="Times New Roman" w:cs="Times New Roman"/>
                <w:color w:val="000000"/>
                <w:lang w:val="zh-CN"/>
              </w:rPr>
            </w:pPr>
            <w:r>
              <w:rPr>
                <w:rFonts w:ascii="Times New Roman" w:hAnsi="Times New Roman" w:cs="Times New Roman"/>
                <w:color w:val="000000"/>
                <w:lang w:val="zh-CN"/>
              </w:rPr>
              <w:t>4. Evaluation and Conclusion</w:t>
            </w:r>
          </w:p>
        </w:tc>
        <w:tc>
          <w:tcPr>
            <w:tcW w:w="1604" w:type="dxa"/>
          </w:tcPr>
          <w:p>
            <w:pPr>
              <w:rPr>
                <w:rFonts w:ascii="Times New Roman" w:hAnsi="Times New Roman" w:cs="Times New Roman"/>
                <w:color w:val="000000"/>
                <w:lang w:val="zh-CN"/>
              </w:rPr>
            </w:pPr>
            <w:r>
              <w:rPr>
                <w:rFonts w:hint="default" w:ascii="Times New Roman" w:hAnsi="Times New Roman" w:cs="Times New Roman"/>
                <w:color w:val="000000"/>
                <w:lang w:val="en-US"/>
              </w:rPr>
              <w:t>M</w:t>
            </w:r>
            <w:r>
              <w:rPr>
                <w:rFonts w:ascii="Times New Roman" w:hAnsi="Times New Roman" w:cs="Times New Roman"/>
                <w:color w:val="000000"/>
                <w:lang w:val="zh-CN"/>
              </w:rPr>
              <w:t>embuat laporan mengenai bacaan fiksi dengan struktur</w:t>
            </w:r>
          </w:p>
        </w:tc>
        <w:tc>
          <w:tcPr>
            <w:tcW w:w="1628" w:type="dxa"/>
          </w:tcPr>
          <w:p>
            <w:pPr>
              <w:rPr>
                <w:rFonts w:ascii="Times New Roman" w:hAnsi="Times New Roman" w:cs="Times New Roman"/>
                <w:lang w:val="zh-CN"/>
              </w:rPr>
            </w:pPr>
            <w:r>
              <w:rPr>
                <w:rFonts w:ascii="Times New Roman" w:hAnsi="Times New Roman" w:cs="Times New Roman"/>
                <w:lang w:val="zh-CN"/>
              </w:rPr>
              <w:t xml:space="preserve">Reporting on Fiction </w:t>
            </w: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276" w:type="dxa"/>
            <w:gridSpan w:val="2"/>
          </w:tcPr>
          <w:p>
            <w:pPr>
              <w:rPr>
                <w:rFonts w:ascii="Times New Roman" w:hAnsi="Times New Roman" w:cs="Times New Roman"/>
                <w:lang w:val="zh-CN"/>
              </w:rPr>
            </w:pPr>
            <w:r>
              <w:rPr>
                <w:rFonts w:ascii="Times New Roman" w:hAnsi="Times New Roman" w:cs="Times New Roman"/>
                <w:lang w:val="zh-CN"/>
              </w:rPr>
              <w:t xml:space="preserve">Ketepatan  dalam menjawab pertanyaan dan membuat laporan </w:t>
            </w: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6.</w:t>
            </w:r>
          </w:p>
        </w:tc>
        <w:tc>
          <w:tcPr>
            <w:tcW w:w="671" w:type="dxa"/>
          </w:tcPr>
          <w:p>
            <w:pPr>
              <w:rPr>
                <w:rFonts w:ascii="Times New Roman" w:hAnsi="Times New Roman" w:cs="Times New Roman"/>
                <w:lang w:val="zh-CN"/>
              </w:rPr>
            </w:pPr>
            <w:r>
              <w:rPr>
                <w:rFonts w:ascii="Times New Roman" w:hAnsi="Times New Roman" w:cs="Times New Roman"/>
                <w:lang w:val="zh-CN"/>
              </w:rPr>
              <w:t>6</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Mahasiswa mampu menjelaskan  jenis-jenis naskah nonfiksi,  isi naskah nonfiksi dengan cara menjawab pertanyaan-pertanyaan non fiksi</w:t>
            </w:r>
          </w:p>
          <w:p>
            <w:pPr>
              <w:rPr>
                <w:rFonts w:ascii="Times New Roman" w:hAnsi="Times New Roman" w:cs="Times New Roman"/>
                <w:color w:val="000000"/>
                <w:lang w:val="zh-CN"/>
              </w:rPr>
            </w:pP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rPr>
              <w:t>menjelaskan  jenis-jenis naskah nonfiksi,  isi naskah nonfiksi</w:t>
            </w:r>
          </w:p>
        </w:tc>
        <w:tc>
          <w:tcPr>
            <w:tcW w:w="1628" w:type="dxa"/>
          </w:tcPr>
          <w:p>
            <w:pPr>
              <w:rPr>
                <w:rFonts w:ascii="Times New Roman" w:hAnsi="Times New Roman" w:cs="Times New Roman"/>
                <w:color w:val="000000"/>
                <w:lang w:val="zh-CN"/>
              </w:rPr>
            </w:pPr>
            <w:r>
              <w:rPr>
                <w:rFonts w:hint="default" w:ascii="Times New Roman" w:hAnsi="Times New Roman" w:cs="Times New Roman"/>
                <w:color w:val="000000"/>
                <w:lang w:val="en-US"/>
              </w:rPr>
              <w:t>R</w:t>
            </w:r>
            <w:r>
              <w:rPr>
                <w:rFonts w:ascii="Times New Roman" w:hAnsi="Times New Roman" w:cs="Times New Roman"/>
                <w:color w:val="000000"/>
                <w:lang w:val="zh-CN"/>
              </w:rPr>
              <w:t>eading and Discussing Nonfiction</w:t>
            </w:r>
          </w:p>
          <w:p>
            <w:pPr>
              <w:rPr>
                <w:rFonts w:ascii="Times New Roman" w:hAnsi="Times New Roman" w:cs="Times New Roman"/>
                <w:color w:val="000000"/>
                <w:lang w:val="zh-CN"/>
              </w:rPr>
            </w:pP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ind w:left="720"/>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276" w:type="dxa"/>
            <w:gridSpan w:val="2"/>
          </w:tcPr>
          <w:p>
            <w:pPr>
              <w:rPr>
                <w:rFonts w:ascii="Times New Roman" w:hAnsi="Times New Roman" w:cs="Times New Roman"/>
                <w:lang w:val="zh-CN"/>
              </w:rPr>
            </w:pPr>
            <w:r>
              <w:rPr>
                <w:rFonts w:ascii="Times New Roman" w:hAnsi="Times New Roman" w:cs="Times New Roman"/>
                <w:lang w:val="zh-CN"/>
              </w:rPr>
              <w:t>Ketepatan dalam menjelaskan dan menjawab pertanyaan naskah non fiksi</w:t>
            </w: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spacing w:after="0"/>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p>
            <w:pPr>
              <w:rPr>
                <w:rFonts w:ascii="Times New Roman" w:hAnsi="Times New Roman" w:cs="Times New Roman"/>
                <w:color w:val="000000"/>
                <w:lang w:val="zh-CN"/>
              </w:rPr>
            </w:pPr>
          </w:p>
          <w:p>
            <w:pPr>
              <w:rPr>
                <w:rFonts w:ascii="Times New Roman" w:hAnsi="Times New Roman" w:cs="Times New Roman"/>
                <w:color w:val="00000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7.</w:t>
            </w:r>
          </w:p>
        </w:tc>
        <w:tc>
          <w:tcPr>
            <w:tcW w:w="671" w:type="dxa"/>
          </w:tcPr>
          <w:p>
            <w:pPr>
              <w:rPr>
                <w:rFonts w:ascii="Times New Roman" w:hAnsi="Times New Roman" w:cs="Times New Roman"/>
                <w:lang w:val="zh-CN"/>
              </w:rPr>
            </w:pPr>
            <w:r>
              <w:rPr>
                <w:rFonts w:ascii="Times New Roman" w:hAnsi="Times New Roman" w:cs="Times New Roman"/>
                <w:lang w:val="zh-CN"/>
              </w:rPr>
              <w:t>7</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eastAsia="id-ID"/>
              </w:rPr>
              <w:t>Mahasiswa mampu mengulang menjelaskan deskripsi dan prinsip-prinsip dari Critical Reading.  Mahasiswa mampu menyebutkan kembali komponen-komponen dari fiksi.    Mahasiswa mampu merefleksikan kembali bacaan fiksi dan nonfiksi serta mampu membuat laporan tentang naskah fiksi</w:t>
            </w: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eastAsia="id-ID"/>
              </w:rPr>
              <w:t xml:space="preserve">mengulang menjelaskan deskripsi dan prinsip-prinsip dari Critical Reading. </w:t>
            </w:r>
          </w:p>
        </w:tc>
        <w:tc>
          <w:tcPr>
            <w:tcW w:w="1628" w:type="dxa"/>
          </w:tcPr>
          <w:p>
            <w:pPr>
              <w:rPr>
                <w:rFonts w:ascii="Arial" w:hAnsi="Arial"/>
              </w:rPr>
            </w:pPr>
            <w:r>
              <w:rPr>
                <w:rFonts w:ascii="Arial" w:hAnsi="Arial"/>
              </w:rPr>
              <w:t>Review  Lesson</w:t>
            </w:r>
          </w:p>
          <w:p>
            <w:pPr>
              <w:rPr>
                <w:rFonts w:ascii="Times New Roman" w:hAnsi="Times New Roman" w:cs="Times New Roman"/>
                <w:color w:val="000000"/>
                <w:lang w:val="zh-CN"/>
              </w:rPr>
            </w:pP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681" w:type="dxa"/>
            <w:gridSpan w:val="2"/>
          </w:tcPr>
          <w:p>
            <w:pPr>
              <w:rPr>
                <w:rFonts w:ascii="Times New Roman" w:hAnsi="Times New Roman" w:cs="Times New Roman"/>
                <w:lang w:val="zh-CN"/>
              </w:rPr>
            </w:pPr>
            <w:r>
              <w:rPr>
                <w:rFonts w:ascii="Times New Roman" w:hAnsi="Times New Roman" w:cs="Times New Roman"/>
                <w:lang w:val="zh-CN"/>
              </w:rPr>
              <w:t>40</w:t>
            </w:r>
          </w:p>
        </w:tc>
        <w:tc>
          <w:tcPr>
            <w:tcW w:w="1138"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276" w:type="dxa"/>
            <w:gridSpan w:val="2"/>
          </w:tcPr>
          <w:p>
            <w:pPr>
              <w:rPr>
                <w:rFonts w:ascii="Times New Roman" w:hAnsi="Times New Roman" w:cs="Times New Roman"/>
                <w:lang w:val="zh-CN"/>
              </w:rPr>
            </w:pPr>
            <w:r>
              <w:rPr>
                <w:rFonts w:ascii="Times New Roman" w:hAnsi="Times New Roman" w:cs="Times New Roman"/>
                <w:lang w:val="zh-CN"/>
              </w:rPr>
              <w:t xml:space="preserve">Ketepatan menjawab pertanyaan-pertanyaan dan mereview materi non fiksi </w:t>
            </w:r>
          </w:p>
        </w:tc>
        <w:tc>
          <w:tcPr>
            <w:tcW w:w="853" w:type="dxa"/>
            <w:gridSpan w:val="2"/>
          </w:tcPr>
          <w:p>
            <w:pPr>
              <w:rPr>
                <w:rFonts w:ascii="Times New Roman" w:hAnsi="Times New Roman" w:cs="Times New Roman"/>
                <w:lang w:val="zh-CN"/>
              </w:rPr>
            </w:pPr>
            <w:r>
              <w:rPr>
                <w:rFonts w:ascii="Times New Roman" w:hAnsi="Times New Roman" w:cs="Times New Roman"/>
                <w:lang w:val="zh-CN"/>
              </w:rPr>
              <w:t>2.5%</w:t>
            </w:r>
          </w:p>
        </w:tc>
        <w:tc>
          <w:tcPr>
            <w:tcW w:w="1423"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spacing w:after="0"/>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p>
            <w:pPr>
              <w:spacing w:after="0"/>
              <w:rPr>
                <w:rFonts w:ascii="Times New Roman" w:hAnsi="Times New Roman" w:cs="Times New Roman"/>
                <w:lang w:val="zh-CN"/>
              </w:rPr>
            </w:pPr>
          </w:p>
          <w:p>
            <w:pPr>
              <w:spacing w:after="0"/>
              <w:rPr>
                <w:rFonts w:ascii="Times New Roman" w:hAnsi="Times New Roman" w:cs="Times New Roman"/>
                <w:lang w:val="zh-CN"/>
              </w:rPr>
            </w:pPr>
          </w:p>
          <w:p>
            <w:pPr>
              <w:spacing w:after="0"/>
              <w:rPr>
                <w:rFonts w:ascii="Times New Roman" w:hAnsi="Times New Roman" w:cs="Times New Roman"/>
                <w:lang w:val="zh-CN"/>
              </w:rPr>
            </w:pPr>
          </w:p>
          <w:p>
            <w:pPr>
              <w:rPr>
                <w:rFonts w:ascii="Times New Roman" w:hAnsi="Times New Roman" w:cs="Times New Roman"/>
                <w:color w:val="00000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7"/>
          <w:wAfter w:w="14294" w:type="dxa"/>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8.</w:t>
            </w:r>
          </w:p>
        </w:tc>
        <w:tc>
          <w:tcPr>
            <w:tcW w:w="671" w:type="dxa"/>
          </w:tcPr>
          <w:p>
            <w:pPr>
              <w:rPr>
                <w:rFonts w:ascii="Times New Roman" w:hAnsi="Times New Roman" w:cs="Times New Roman"/>
                <w:lang w:val="zh-CN"/>
              </w:rPr>
            </w:pPr>
            <w:r>
              <w:rPr>
                <w:rFonts w:ascii="Times New Roman" w:hAnsi="Times New Roman" w:cs="Times New Roman"/>
                <w:lang w:val="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15" w:type="dxa"/>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9</w:t>
            </w:r>
          </w:p>
        </w:tc>
        <w:tc>
          <w:tcPr>
            <w:tcW w:w="671" w:type="dxa"/>
          </w:tcPr>
          <w:p>
            <w:pPr>
              <w:rPr>
                <w:rFonts w:ascii="Times New Roman" w:hAnsi="Times New Roman" w:cs="Times New Roman"/>
                <w:lang w:val="zh-CN"/>
              </w:rPr>
            </w:pPr>
            <w:r>
              <w:rPr>
                <w:rFonts w:ascii="Times New Roman" w:hAnsi="Times New Roman" w:cs="Times New Roman"/>
                <w:lang w:val="zh-CN"/>
              </w:rPr>
              <w:t>9</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eastAsia="id-ID"/>
              </w:rPr>
              <w:t>Mahasiswa mampu memahami bacaan nonfiksi secara kritis dengan cara menjawab pertanyaan responsif tentang nonfiksi.</w:t>
            </w:r>
          </w:p>
          <w:p>
            <w:pPr>
              <w:rPr>
                <w:rFonts w:ascii="Times New Roman" w:hAnsi="Times New Roman" w:cs="Times New Roman"/>
                <w:color w:val="000000"/>
                <w:lang w:val="zh-CN"/>
              </w:rPr>
            </w:pPr>
            <w:r>
              <w:rPr>
                <w:rFonts w:ascii="Times New Roman" w:hAnsi="Times New Roman" w:cs="Times New Roman"/>
                <w:color w:val="000000"/>
                <w:lang w:val="zh-CN" w:eastAsia="id-ID"/>
              </w:rPr>
              <w:t>Mahasiswa mampu menganalisa menjelaskan dan memberikan sanggahan terhadap naskah nonfiksi.</w:t>
            </w:r>
          </w:p>
        </w:tc>
        <w:tc>
          <w:tcPr>
            <w:tcW w:w="1604" w:type="dxa"/>
          </w:tcPr>
          <w:p>
            <w:pPr>
              <w:rPr>
                <w:rFonts w:hint="default" w:ascii="Times New Roman" w:hAnsi="Times New Roman" w:cs="Times New Roman"/>
                <w:color w:val="000000"/>
                <w:lang w:val="en-US"/>
              </w:rPr>
            </w:pPr>
            <w:r>
              <w:rPr>
                <w:rFonts w:ascii="Times New Roman" w:hAnsi="Times New Roman" w:cs="Times New Roman"/>
                <w:color w:val="000000"/>
                <w:lang w:val="zh-CN" w:eastAsia="id-ID"/>
              </w:rPr>
              <w:t>memahami bacaan nonfiksi secara kritis</w:t>
            </w:r>
            <w:r>
              <w:rPr>
                <w:rFonts w:hint="default" w:ascii="Times New Roman" w:hAnsi="Times New Roman" w:cs="Times New Roman"/>
                <w:color w:val="000000"/>
                <w:lang w:val="en-US" w:eastAsia="id-ID"/>
              </w:rPr>
              <w:t xml:space="preserve"> dan </w:t>
            </w:r>
            <w:r>
              <w:rPr>
                <w:rFonts w:ascii="Times New Roman" w:hAnsi="Times New Roman" w:cs="Times New Roman"/>
                <w:color w:val="000000"/>
                <w:lang w:val="zh-CN" w:eastAsia="id-ID"/>
              </w:rPr>
              <w:t xml:space="preserve">menganalisa menjelaskan dan memberikan sanggahan </w:t>
            </w:r>
          </w:p>
        </w:tc>
        <w:tc>
          <w:tcPr>
            <w:tcW w:w="1628" w:type="dxa"/>
          </w:tcPr>
          <w:p>
            <w:pPr>
              <w:rPr>
                <w:rFonts w:ascii="Times New Roman" w:hAnsi="Times New Roman" w:cs="Times New Roman"/>
                <w:lang w:val="zh-CN"/>
              </w:rPr>
            </w:pPr>
            <w:r>
              <w:rPr>
                <w:rFonts w:ascii="Times New Roman" w:hAnsi="Times New Roman" w:cs="Times New Roman"/>
                <w:lang w:val="zh-CN" w:eastAsia="id-ID"/>
              </w:rPr>
              <w:t xml:space="preserve">Responding To Nonfiction </w:t>
            </w:r>
          </w:p>
          <w:p>
            <w:pPr>
              <w:rPr>
                <w:rFonts w:ascii="Times New Roman" w:hAnsi="Times New Roman" w:cs="Times New Roman"/>
                <w:color w:val="000000"/>
                <w:lang w:val="zh-CN"/>
              </w:rPr>
            </w:pP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Ketepatan menjawab pertanyaan dan memberikan respon naskah non fiksi</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14" w:type="dxa"/>
            <w:gridSpan w:val="3"/>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color w:val="000000"/>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15" w:type="dxa"/>
          <w:trHeight w:val="146" w:hRule="atLeast"/>
        </w:trPr>
        <w:tc>
          <w:tcPr>
            <w:tcW w:w="792" w:type="dxa"/>
          </w:tcPr>
          <w:p>
            <w:pPr>
              <w:rPr>
                <w:rFonts w:ascii="Times New Roman" w:hAnsi="Times New Roman" w:cs="Times New Roman"/>
                <w:lang w:val="zh-CN"/>
              </w:rPr>
            </w:pPr>
            <w:r>
              <w:rPr>
                <w:rFonts w:ascii="Times New Roman" w:hAnsi="Times New Roman" w:cs="Times New Roman"/>
                <w:lang w:val="zh-CN"/>
              </w:rPr>
              <w:t>10</w:t>
            </w:r>
          </w:p>
        </w:tc>
        <w:tc>
          <w:tcPr>
            <w:tcW w:w="671" w:type="dxa"/>
          </w:tcPr>
          <w:p>
            <w:pPr>
              <w:rPr>
                <w:rFonts w:ascii="Times New Roman" w:hAnsi="Times New Roman" w:cs="Times New Roman"/>
                <w:lang w:val="zh-CN"/>
              </w:rPr>
            </w:pPr>
            <w:r>
              <w:rPr>
                <w:rFonts w:ascii="Times New Roman" w:hAnsi="Times New Roman" w:cs="Times New Roman"/>
                <w:lang w:val="zh-CN"/>
              </w:rPr>
              <w:t>10</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eastAsia="id-ID"/>
              </w:rPr>
              <w:t>Mahasiswa mampu menjelaskan definisi dari konteks dan menjelaskan jenis-jenis konteks. Mahasiswa mampu mendeskripsikan konteks pada sebuah naskah. Mahasiswa mampu mendeskripsikan hubungan antara konteks dengan isi dari sebuah naskah.</w:t>
            </w: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eastAsia="id-ID"/>
              </w:rPr>
              <w:t>menjelaskan definisi dari konteks</w:t>
            </w:r>
            <w:r>
              <w:rPr>
                <w:rFonts w:ascii="Times New Roman" w:hAnsi="Times New Roman" w:cs="Times New Roman"/>
                <w:color w:val="000000"/>
                <w:lang w:val="zh-CN"/>
              </w:rPr>
              <w:t xml:space="preserve">t </w:t>
            </w:r>
          </w:p>
          <w:p>
            <w:pPr>
              <w:rPr>
                <w:rFonts w:ascii="Times New Roman" w:hAnsi="Times New Roman" w:cs="Times New Roman"/>
                <w:color w:val="000000"/>
                <w:lang w:val="zh-CN"/>
              </w:rPr>
            </w:pP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 xml:space="preserve">Analyzing Context </w:t>
            </w:r>
          </w:p>
          <w:p>
            <w:pPr>
              <w:rPr>
                <w:rFonts w:ascii="Times New Roman" w:hAnsi="Times New Roman" w:cs="Times New Roman"/>
                <w:color w:val="000000"/>
                <w:lang w:val="zh-CN"/>
              </w:rPr>
            </w:pP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Membaca, menjawab pertanyaan, menyampaikan pendapat</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14" w:type="dxa"/>
            <w:gridSpan w:val="3"/>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color w:val="000000"/>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15" w:type="dxa"/>
          <w:trHeight w:val="1794" w:hRule="atLeast"/>
        </w:trPr>
        <w:tc>
          <w:tcPr>
            <w:tcW w:w="792" w:type="dxa"/>
          </w:tcPr>
          <w:p>
            <w:pPr>
              <w:rPr>
                <w:rFonts w:ascii="Times New Roman" w:hAnsi="Times New Roman" w:cs="Times New Roman"/>
                <w:lang w:val="zh-CN"/>
              </w:rPr>
            </w:pPr>
            <w:r>
              <w:rPr>
                <w:rFonts w:ascii="Times New Roman" w:hAnsi="Times New Roman" w:cs="Times New Roman"/>
                <w:lang w:val="zh-CN"/>
              </w:rPr>
              <w:t>11.</w:t>
            </w:r>
          </w:p>
        </w:tc>
        <w:tc>
          <w:tcPr>
            <w:tcW w:w="671" w:type="dxa"/>
          </w:tcPr>
          <w:p>
            <w:pPr>
              <w:rPr>
                <w:rFonts w:ascii="Times New Roman" w:hAnsi="Times New Roman" w:cs="Times New Roman"/>
                <w:lang w:val="zh-CN"/>
              </w:rPr>
            </w:pPr>
            <w:r>
              <w:rPr>
                <w:rFonts w:ascii="Times New Roman" w:hAnsi="Times New Roman" w:cs="Times New Roman"/>
                <w:lang w:val="zh-CN"/>
              </w:rPr>
              <w:t>11</w:t>
            </w:r>
          </w:p>
        </w:tc>
        <w:tc>
          <w:tcPr>
            <w:tcW w:w="1874" w:type="dxa"/>
          </w:tcPr>
          <w:p>
            <w:pPr>
              <w:rPr>
                <w:rFonts w:hint="default" w:ascii="Times New Roman" w:hAnsi="Times New Roman" w:cs="Times New Roman"/>
                <w:color w:val="000000"/>
                <w:lang w:val="en-US"/>
              </w:rPr>
            </w:pPr>
            <w:r>
              <w:rPr>
                <w:rFonts w:ascii="Times New Roman" w:hAnsi="Times New Roman" w:cs="Times New Roman"/>
                <w:color w:val="000000"/>
                <w:lang w:val="zh-CN"/>
              </w:rPr>
              <w:t>Mahasiswa mampu memahami makna kosakata pada sebuah naskah. Mahasiswa mampu menggunakan context cues pada sebuah naskah untuk menentukan definisi dari</w:t>
            </w:r>
            <w:r>
              <w:rPr>
                <w:rFonts w:hint="default" w:ascii="Times New Roman" w:hAnsi="Times New Roman" w:cs="Times New Roman"/>
                <w:color w:val="000000"/>
                <w:lang w:val="en-US"/>
              </w:rPr>
              <w:t xml:space="preserve"> sebuah kosakata. Mahasiswa mampu mendeskripsikan  penulis memilih kosakata untuk memberikan makna dan gaya pada sebuah naskah.</w:t>
            </w: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rPr>
              <w:t>memahami makna kosakata pada sebuah naskah.</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Words in Context</w:t>
            </w:r>
          </w:p>
          <w:p>
            <w:pPr>
              <w:rPr>
                <w:rFonts w:ascii="Times New Roman" w:hAnsi="Times New Roman" w:cs="Times New Roman"/>
                <w:color w:val="000000"/>
                <w:lang w:val="zh-CN"/>
              </w:rPr>
            </w:pP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 xml:space="preserve">Ketepatan menjawab pertanyaan dan mempresentasikan jawaban </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14" w:type="dxa"/>
            <w:gridSpan w:val="3"/>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color w:val="000000"/>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15" w:type="dxa"/>
          <w:trHeight w:val="1780" w:hRule="atLeast"/>
        </w:trPr>
        <w:tc>
          <w:tcPr>
            <w:tcW w:w="792" w:type="dxa"/>
          </w:tcPr>
          <w:p>
            <w:pPr>
              <w:rPr>
                <w:rFonts w:ascii="Times New Roman" w:hAnsi="Times New Roman" w:cs="Times New Roman"/>
                <w:lang w:val="zh-CN"/>
              </w:rPr>
            </w:pPr>
            <w:r>
              <w:rPr>
                <w:rFonts w:ascii="Times New Roman" w:hAnsi="Times New Roman" w:cs="Times New Roman"/>
                <w:lang w:val="zh-CN"/>
              </w:rPr>
              <w:t>12.</w:t>
            </w:r>
          </w:p>
        </w:tc>
        <w:tc>
          <w:tcPr>
            <w:tcW w:w="671" w:type="dxa"/>
          </w:tcPr>
          <w:p>
            <w:pPr>
              <w:rPr>
                <w:rFonts w:ascii="Times New Roman" w:hAnsi="Times New Roman" w:cs="Times New Roman"/>
                <w:lang w:val="zh-CN"/>
              </w:rPr>
            </w:pPr>
            <w:r>
              <w:rPr>
                <w:rFonts w:ascii="Times New Roman" w:hAnsi="Times New Roman" w:cs="Times New Roman"/>
                <w:lang w:val="zh-CN"/>
              </w:rPr>
              <w:t>12</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Mahasiswa mampu memahami naskah nonfiksi dengan cara membuat outline dan membuat laporan. Mahasiswa mampu mempresentasikan isi dari bacaan nonfiksi secara lisan. Mahasiswa mampu menceritakan isi dari bacaan nonfiksi</w:t>
            </w: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rPr>
              <w:t>memahami naskah nonfiksi dengan cara membuat outline dan membuat laporan.</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Presenting Your Reading</w:t>
            </w: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Ketepatan menjawab pertanyaan dan membuat laporan</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14" w:type="dxa"/>
            <w:gridSpan w:val="3"/>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rPr>
                <w:rFonts w:ascii="Times New Roman" w:hAnsi="Times New Roman" w:cs="Times New Roman"/>
                <w:color w:val="000000"/>
                <w:lang w:val="zh-CN"/>
              </w:rPr>
            </w:pPr>
            <w:r>
              <w:rPr>
                <w:rFonts w:ascii="Times New Roman" w:hAnsi="Times New Roman" w:cs="Times New Roman"/>
                <w:lang w:val="zh-CN"/>
              </w:rPr>
              <w:t xml:space="preserve">Wallace, Catherine. 2003. Critical Reading in Language Education. Palgrave, MacMillan. New York.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15" w:type="dxa"/>
          <w:trHeight w:val="1275" w:hRule="atLeast"/>
        </w:trPr>
        <w:tc>
          <w:tcPr>
            <w:tcW w:w="792" w:type="dxa"/>
          </w:tcPr>
          <w:p>
            <w:pPr>
              <w:rPr>
                <w:rFonts w:ascii="Times New Roman" w:hAnsi="Times New Roman" w:cs="Times New Roman"/>
                <w:lang w:val="zh-CN"/>
              </w:rPr>
            </w:pPr>
            <w:r>
              <w:rPr>
                <w:rFonts w:ascii="Times New Roman" w:hAnsi="Times New Roman" w:cs="Times New Roman"/>
                <w:lang w:val="zh-CN"/>
              </w:rPr>
              <w:t>13.</w:t>
            </w:r>
          </w:p>
        </w:tc>
        <w:tc>
          <w:tcPr>
            <w:tcW w:w="671" w:type="dxa"/>
          </w:tcPr>
          <w:p>
            <w:pPr>
              <w:rPr>
                <w:rFonts w:ascii="Times New Roman" w:hAnsi="Times New Roman" w:cs="Times New Roman"/>
                <w:lang w:val="zh-CN"/>
              </w:rPr>
            </w:pPr>
            <w:r>
              <w:rPr>
                <w:rFonts w:ascii="Times New Roman" w:hAnsi="Times New Roman" w:cs="Times New Roman"/>
                <w:lang w:val="zh-CN"/>
              </w:rPr>
              <w:t>13</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Mahasiswa mampu memahami bacaan fiksi. Mahasiswa mampu secara aktif membuat akhir cerita fiksi yang berbeda. Mahasiswa mampu secara kreatif menulis surat kepada salah satu karekter pada bacaan fiksi.</w:t>
            </w:r>
          </w:p>
        </w:tc>
        <w:tc>
          <w:tcPr>
            <w:tcW w:w="1604" w:type="dxa"/>
          </w:tcPr>
          <w:p>
            <w:pPr>
              <w:rPr>
                <w:rFonts w:hint="default" w:ascii="Times New Roman" w:hAnsi="Times New Roman" w:cs="Times New Roman"/>
                <w:color w:val="000000"/>
                <w:lang w:val="en-US"/>
              </w:rPr>
            </w:pPr>
            <w:r>
              <w:rPr>
                <w:rFonts w:ascii="Times New Roman" w:hAnsi="Times New Roman" w:cs="Times New Roman"/>
                <w:color w:val="000000"/>
                <w:lang w:val="zh-CN"/>
              </w:rPr>
              <w:t>memahami bacaan fiksi.</w:t>
            </w:r>
            <w:r>
              <w:rPr>
                <w:rFonts w:hint="default" w:ascii="Times New Roman" w:hAnsi="Times New Roman" w:cs="Times New Roman"/>
                <w:color w:val="000000"/>
                <w:lang w:val="en-US"/>
              </w:rPr>
              <w:t xml:space="preserve"> </w:t>
            </w:r>
          </w:p>
          <w:p>
            <w:pPr>
              <w:rPr>
                <w:rFonts w:hint="default" w:ascii="Times New Roman" w:hAnsi="Times New Roman" w:cs="Times New Roman"/>
                <w:color w:val="000000"/>
                <w:lang w:val="en-US"/>
              </w:rPr>
            </w:pPr>
            <w:r>
              <w:rPr>
                <w:rFonts w:hint="default" w:ascii="Times New Roman" w:hAnsi="Times New Roman" w:cs="Times New Roman"/>
                <w:color w:val="000000"/>
                <w:lang w:val="en-US"/>
              </w:rPr>
              <w:t>m</w:t>
            </w:r>
            <w:r>
              <w:rPr>
                <w:rFonts w:ascii="Times New Roman" w:hAnsi="Times New Roman" w:cs="Times New Roman"/>
                <w:color w:val="000000"/>
                <w:lang w:val="zh-CN"/>
              </w:rPr>
              <w:t>ampu secara kreatif menulis surat kepada salah satu karekter pada bacaan fiksi</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Creative and Active Post Reading Activities</w:t>
            </w: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Ketepatan menjawab  pertanyaan dan keragaman dan membuat post reading</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14" w:type="dxa"/>
            <w:gridSpan w:val="3"/>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spacing w:after="0"/>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p>
            <w:pPr>
              <w:rPr>
                <w:rFonts w:ascii="Times New Roman" w:hAnsi="Times New Roman" w:cs="Times New Roman"/>
                <w:color w:val="00000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15" w:type="dxa"/>
          <w:trHeight w:val="1275" w:hRule="atLeast"/>
        </w:trPr>
        <w:tc>
          <w:tcPr>
            <w:tcW w:w="792" w:type="dxa"/>
          </w:tcPr>
          <w:p>
            <w:pPr>
              <w:rPr>
                <w:rFonts w:ascii="Times New Roman" w:hAnsi="Times New Roman" w:cs="Times New Roman"/>
                <w:lang w:val="zh-CN"/>
              </w:rPr>
            </w:pPr>
            <w:r>
              <w:rPr>
                <w:rFonts w:ascii="Times New Roman" w:hAnsi="Times New Roman" w:cs="Times New Roman"/>
                <w:lang w:val="zh-CN"/>
              </w:rPr>
              <w:t>14.</w:t>
            </w:r>
          </w:p>
        </w:tc>
        <w:tc>
          <w:tcPr>
            <w:tcW w:w="671" w:type="dxa"/>
          </w:tcPr>
          <w:p>
            <w:pPr>
              <w:rPr>
                <w:rFonts w:ascii="Times New Roman" w:hAnsi="Times New Roman" w:cs="Times New Roman"/>
                <w:lang w:val="zh-CN"/>
              </w:rPr>
            </w:pPr>
            <w:r>
              <w:rPr>
                <w:rFonts w:ascii="Times New Roman" w:hAnsi="Times New Roman" w:cs="Times New Roman"/>
                <w:lang w:val="zh-CN"/>
              </w:rPr>
              <w:t>14</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Mahasiswa mampu mengulang materi tentang konteks.</w:t>
            </w:r>
          </w:p>
          <w:p>
            <w:pPr>
              <w:rPr>
                <w:rFonts w:ascii="Times New Roman" w:hAnsi="Times New Roman" w:cs="Times New Roman"/>
                <w:color w:val="000000"/>
                <w:lang w:val="zh-CN"/>
              </w:rPr>
            </w:pPr>
            <w:r>
              <w:rPr>
                <w:rFonts w:ascii="Times New Roman" w:hAnsi="Times New Roman" w:cs="Times New Roman"/>
                <w:color w:val="000000"/>
                <w:lang w:val="zh-CN"/>
              </w:rPr>
              <w:t>Mahasiswa mampu mengulang materi tentang kosakata dalam konteks. Mahasiswa mampu mengulang membuat laporan naskah nonfiksi.</w:t>
            </w: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rPr>
              <w:t>mengulang materi tentang konteks.</w:t>
            </w:r>
          </w:p>
        </w:tc>
        <w:tc>
          <w:tcPr>
            <w:tcW w:w="1628" w:type="dxa"/>
          </w:tcPr>
          <w:p>
            <w:pPr>
              <w:rPr>
                <w:rFonts w:ascii="Times New Roman" w:hAnsi="Times New Roman" w:cs="Times New Roman"/>
                <w:color w:val="000000"/>
                <w:lang w:val="zh-CN"/>
              </w:rPr>
            </w:pPr>
            <w:r>
              <w:rPr>
                <w:rFonts w:ascii="Times New Roman" w:hAnsi="Times New Roman" w:cs="Times New Roman"/>
                <w:color w:val="000000"/>
                <w:lang w:val="zh-CN"/>
              </w:rPr>
              <w:t>REVIEW LESSONS</w:t>
            </w: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Ketepatan dalam menjawab pertanyaan dan membuat laporan naskah non fiksi</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14" w:type="dxa"/>
            <w:gridSpan w:val="3"/>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spacing w:after="0"/>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p>
            <w:pPr>
              <w:spacing w:after="0"/>
              <w:rPr>
                <w:rFonts w:ascii="Times New Roman" w:hAnsi="Times New Roman" w:cs="Times New Roman"/>
                <w:lang w:val="zh-CN"/>
              </w:rPr>
            </w:pPr>
            <w:r>
              <w:rPr>
                <w:rFonts w:ascii="Times New Roman" w:hAnsi="Times New Roman" w:cs="Times New Roman"/>
                <w:lang w:val="zh-CN"/>
              </w:rPr>
              <w:t>Finch, G</w:t>
            </w:r>
          </w:p>
          <w:p>
            <w:pPr>
              <w:rPr>
                <w:rFonts w:ascii="Times New Roman" w:hAnsi="Times New Roman" w:cs="Times New Roman"/>
                <w:color w:val="00000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81" w:type="dxa"/>
          <w:trHeight w:val="1542" w:hRule="atLeast"/>
        </w:trPr>
        <w:tc>
          <w:tcPr>
            <w:tcW w:w="792" w:type="dxa"/>
          </w:tcPr>
          <w:p>
            <w:pPr>
              <w:rPr>
                <w:rFonts w:ascii="Times New Roman" w:hAnsi="Times New Roman" w:cs="Times New Roman"/>
                <w:lang w:val="zh-CN"/>
              </w:rPr>
            </w:pPr>
            <w:r>
              <w:rPr>
                <w:rFonts w:ascii="Times New Roman" w:hAnsi="Times New Roman" w:cs="Times New Roman"/>
                <w:lang w:val="zh-CN"/>
              </w:rPr>
              <w:t>15.</w:t>
            </w:r>
          </w:p>
        </w:tc>
        <w:tc>
          <w:tcPr>
            <w:tcW w:w="671" w:type="dxa"/>
          </w:tcPr>
          <w:p>
            <w:pPr>
              <w:rPr>
                <w:rFonts w:ascii="Times New Roman" w:hAnsi="Times New Roman" w:cs="Times New Roman"/>
                <w:lang w:val="zh-CN"/>
              </w:rPr>
            </w:pPr>
            <w:r>
              <w:rPr>
                <w:rFonts w:ascii="Times New Roman" w:hAnsi="Times New Roman" w:cs="Times New Roman"/>
                <w:lang w:val="zh-CN"/>
              </w:rPr>
              <w:t>15</w:t>
            </w:r>
          </w:p>
        </w:tc>
        <w:tc>
          <w:tcPr>
            <w:tcW w:w="1874" w:type="dxa"/>
          </w:tcPr>
          <w:p>
            <w:pPr>
              <w:rPr>
                <w:rFonts w:ascii="Times New Roman" w:hAnsi="Times New Roman" w:cs="Times New Roman"/>
                <w:color w:val="000000"/>
                <w:lang w:val="zh-CN"/>
              </w:rPr>
            </w:pPr>
            <w:r>
              <w:rPr>
                <w:rFonts w:ascii="Times New Roman" w:hAnsi="Times New Roman" w:cs="Times New Roman"/>
                <w:color w:val="000000"/>
                <w:lang w:val="zh-CN"/>
              </w:rPr>
              <w:t xml:space="preserve">Mampu mengidentifikasi dan menjelaskan tentang </w:t>
            </w:r>
            <w:r>
              <w:rPr>
                <w:rFonts w:ascii="Times New Roman" w:hAnsi="Times New Roman" w:cs="Times New Roman"/>
                <w:lang w:val="zh-CN"/>
              </w:rPr>
              <w:t>Review of Material</w:t>
            </w:r>
          </w:p>
        </w:tc>
        <w:tc>
          <w:tcPr>
            <w:tcW w:w="1604" w:type="dxa"/>
          </w:tcPr>
          <w:p>
            <w:pPr>
              <w:rPr>
                <w:rFonts w:ascii="Times New Roman" w:hAnsi="Times New Roman" w:cs="Times New Roman"/>
                <w:color w:val="000000"/>
                <w:lang w:val="zh-CN"/>
              </w:rPr>
            </w:pPr>
            <w:r>
              <w:rPr>
                <w:rFonts w:ascii="Times New Roman" w:hAnsi="Times New Roman" w:cs="Times New Roman"/>
                <w:color w:val="000000"/>
                <w:lang w:val="zh-CN"/>
              </w:rPr>
              <w:t xml:space="preserve">Ketepatan mahasiswa menjelaskan tentang </w:t>
            </w:r>
            <w:r>
              <w:rPr>
                <w:rFonts w:ascii="Times New Roman" w:hAnsi="Times New Roman" w:cs="Times New Roman"/>
                <w:lang w:val="zh-CN"/>
              </w:rPr>
              <w:t>Review of Material</w:t>
            </w:r>
          </w:p>
        </w:tc>
        <w:tc>
          <w:tcPr>
            <w:tcW w:w="1628" w:type="dxa"/>
          </w:tcPr>
          <w:p>
            <w:pPr>
              <w:rPr>
                <w:rFonts w:ascii="Times New Roman" w:hAnsi="Times New Roman" w:cs="Times New Roman"/>
                <w:i/>
                <w:iCs/>
                <w:color w:val="000000"/>
                <w:lang w:val="zh-CN"/>
              </w:rPr>
            </w:pPr>
            <w:r>
              <w:rPr>
                <w:rFonts w:ascii="Times New Roman" w:hAnsi="Times New Roman" w:cs="Times New Roman"/>
                <w:lang w:val="zh-CN"/>
              </w:rPr>
              <w:t>Review of Material</w:t>
            </w:r>
          </w:p>
        </w:tc>
        <w:tc>
          <w:tcPr>
            <w:tcW w:w="2333" w:type="dxa"/>
          </w:tcPr>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Lecturing </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Discussion</w:t>
            </w:r>
          </w:p>
          <w:p>
            <w:pPr>
              <w:numPr>
                <w:ilvl w:val="0"/>
                <w:numId w:val="5"/>
              </w:numPr>
              <w:spacing w:after="0" w:line="240" w:lineRule="auto"/>
              <w:textAlignment w:val="baseline"/>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Writing the conclusion</w:t>
            </w:r>
          </w:p>
        </w:tc>
        <w:tc>
          <w:tcPr>
            <w:tcW w:w="484" w:type="dxa"/>
          </w:tcPr>
          <w:p>
            <w:pPr>
              <w:rPr>
                <w:rFonts w:ascii="Times New Roman" w:hAnsi="Times New Roman" w:cs="Times New Roman"/>
                <w:lang w:val="zh-CN"/>
              </w:rPr>
            </w:pPr>
            <w:r>
              <w:rPr>
                <w:rFonts w:ascii="Times New Roman" w:hAnsi="Times New Roman" w:cs="Times New Roman"/>
                <w:lang w:val="zh-CN"/>
              </w:rPr>
              <w:t>20</w:t>
            </w:r>
          </w:p>
        </w:tc>
        <w:tc>
          <w:tcPr>
            <w:tcW w:w="494" w:type="dxa"/>
          </w:tcPr>
          <w:p>
            <w:pPr>
              <w:rPr>
                <w:rFonts w:ascii="Times New Roman" w:hAnsi="Times New Roman" w:cs="Times New Roman"/>
                <w:lang w:val="zh-CN"/>
              </w:rPr>
            </w:pPr>
            <w:r>
              <w:rPr>
                <w:rFonts w:ascii="Times New Roman" w:hAnsi="Times New Roman" w:cs="Times New Roman"/>
                <w:lang w:val="zh-CN"/>
              </w:rPr>
              <w:t>40</w:t>
            </w:r>
          </w:p>
        </w:tc>
        <w:tc>
          <w:tcPr>
            <w:tcW w:w="1111" w:type="dxa"/>
            <w:gridSpan w:val="2"/>
          </w:tcPr>
          <w:p>
            <w:pPr>
              <w:rPr>
                <w:rFonts w:ascii="Times New Roman" w:hAnsi="Times New Roman" w:cs="Times New Roman"/>
                <w:lang w:val="zh-CN"/>
              </w:rPr>
            </w:pPr>
            <w:r>
              <w:rPr>
                <w:rFonts w:ascii="Times New Roman" w:hAnsi="Times New Roman" w:cs="Times New Roman"/>
                <w:lang w:val="zh-CN"/>
              </w:rPr>
              <w:t>Penilaian  sikap, tertulis, dan diri</w:t>
            </w:r>
          </w:p>
          <w:p>
            <w:pPr>
              <w:rPr>
                <w:rFonts w:ascii="Times New Roman" w:hAnsi="Times New Roman" w:cs="Times New Roman"/>
                <w:lang w:val="zh-CN"/>
              </w:rPr>
            </w:pPr>
          </w:p>
        </w:tc>
        <w:tc>
          <w:tcPr>
            <w:tcW w:w="2148" w:type="dxa"/>
            <w:gridSpan w:val="2"/>
          </w:tcPr>
          <w:p>
            <w:pPr>
              <w:rPr>
                <w:rFonts w:ascii="Times New Roman" w:hAnsi="Times New Roman" w:cs="Times New Roman"/>
                <w:lang w:val="zh-CN"/>
              </w:rPr>
            </w:pPr>
            <w:r>
              <w:rPr>
                <w:rFonts w:ascii="Times New Roman" w:hAnsi="Times New Roman" w:cs="Times New Roman"/>
                <w:lang w:val="zh-CN"/>
              </w:rPr>
              <w:t>Mampu mempresentasikan materi dan mengaplikasikannya</w:t>
            </w:r>
          </w:p>
        </w:tc>
        <w:tc>
          <w:tcPr>
            <w:tcW w:w="789" w:type="dxa"/>
            <w:gridSpan w:val="2"/>
          </w:tcPr>
          <w:p>
            <w:pPr>
              <w:rPr>
                <w:rFonts w:ascii="Times New Roman" w:hAnsi="Times New Roman" w:cs="Times New Roman"/>
                <w:lang w:val="zh-CN"/>
              </w:rPr>
            </w:pPr>
            <w:r>
              <w:rPr>
                <w:rFonts w:ascii="Times New Roman" w:hAnsi="Times New Roman" w:cs="Times New Roman"/>
                <w:lang w:val="zh-CN"/>
              </w:rPr>
              <w:t>2.5%</w:t>
            </w:r>
          </w:p>
        </w:tc>
        <w:tc>
          <w:tcPr>
            <w:tcW w:w="1348" w:type="dxa"/>
            <w:gridSpan w:val="4"/>
          </w:tcPr>
          <w:p>
            <w:pPr>
              <w:rPr>
                <w:rFonts w:ascii="Times New Roman" w:hAnsi="Times New Roman" w:cs="Times New Roman"/>
                <w:lang w:val="zh-CN"/>
              </w:rPr>
            </w:pPr>
            <w:r>
              <w:rPr>
                <w:rFonts w:ascii="Times New Roman" w:hAnsi="Times New Roman" w:cs="Times New Roman"/>
                <w:lang w:val="zh-CN"/>
              </w:rPr>
              <w:t>Amy W, Regina W. 2005. The Complete Idiot's Guide To Critical Reading. Penguin Books, New York.</w:t>
            </w:r>
          </w:p>
          <w:p>
            <w:pPr>
              <w:rPr>
                <w:rFonts w:ascii="Times New Roman" w:hAnsi="Times New Roman" w:cs="Times New Roman"/>
                <w:lang w:val="zh-CN"/>
              </w:rPr>
            </w:pPr>
            <w:r>
              <w:rPr>
                <w:rFonts w:ascii="Times New Roman" w:hAnsi="Times New Roman" w:cs="Times New Roman"/>
                <w:lang w:val="zh-CN"/>
              </w:rPr>
              <w:t>Mickulecky, Jeffries.2007. Advanced Reading Power. USA: Pearson Education.</w:t>
            </w:r>
          </w:p>
          <w:p>
            <w:pPr>
              <w:rPr>
                <w:rFonts w:ascii="Times New Roman" w:hAnsi="Times New Roman" w:cs="Times New Roman"/>
                <w:lang w:val="zh-CN"/>
              </w:rPr>
            </w:pPr>
            <w:r>
              <w:rPr>
                <w:rFonts w:ascii="Times New Roman" w:hAnsi="Times New Roman" w:cs="Times New Roman"/>
                <w:lang w:val="zh-CN"/>
              </w:rPr>
              <w:t xml:space="preserve">Shen, L. (2012). Context and Text. Theory and Practice in Language Studies, Vol. 2, No. 12, pp. 2663-2669. </w:t>
            </w:r>
          </w:p>
          <w:p>
            <w:pPr>
              <w:rPr>
                <w:rFonts w:ascii="Times New Roman" w:hAnsi="Times New Roman" w:cs="Times New Roman"/>
                <w:lang w:val="zh-CN"/>
              </w:rPr>
            </w:pPr>
          </w:p>
          <w:p>
            <w:pPr>
              <w:rPr>
                <w:rFonts w:ascii="Times New Roman" w:hAnsi="Times New Roman" w:cs="Times New Roman"/>
                <w:lang w:val="zh-CN"/>
              </w:rPr>
            </w:pPr>
            <w:r>
              <w:rPr>
                <w:rFonts w:ascii="Times New Roman" w:hAnsi="Times New Roman" w:cs="Times New Roman"/>
                <w:lang w:val="zh-CN"/>
              </w:rPr>
              <w:t>Thomson Peterson. 2005. Peterson New SAT Critical reading Workbook. Thomson Peterson's, United States of America.</w:t>
            </w:r>
          </w:p>
          <w:p>
            <w:pPr>
              <w:spacing w:after="0"/>
              <w:rPr>
                <w:rFonts w:ascii="Times New Roman" w:hAnsi="Times New Roman" w:cs="Times New Roman"/>
                <w:lang w:val="zh-CN"/>
              </w:rPr>
            </w:pPr>
            <w:r>
              <w:rPr>
                <w:rFonts w:ascii="Times New Roman" w:hAnsi="Times New Roman" w:cs="Times New Roman"/>
                <w:lang w:val="zh-CN"/>
              </w:rPr>
              <w:t xml:space="preserve">Wallace, Catherine. 2003. Critical Reading in Language Education. Palgrave, MacMillan. New York. </w:t>
            </w:r>
          </w:p>
          <w:p>
            <w:pPr>
              <w:rPr>
                <w:rFonts w:ascii="Times New Roman" w:hAnsi="Times New Roman" w:cs="Times New Roman"/>
                <w:color w:val="00000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81" w:type="dxa"/>
          <w:trHeight w:val="252" w:hRule="atLeast"/>
        </w:trPr>
        <w:tc>
          <w:tcPr>
            <w:tcW w:w="792" w:type="dxa"/>
          </w:tcPr>
          <w:p>
            <w:pPr>
              <w:rPr>
                <w:rFonts w:ascii="Times New Roman" w:hAnsi="Times New Roman" w:cs="Times New Roman"/>
                <w:lang w:val="zh-CN"/>
              </w:rPr>
            </w:pPr>
            <w:r>
              <w:rPr>
                <w:rFonts w:ascii="Times New Roman" w:hAnsi="Times New Roman" w:cs="Times New Roman"/>
                <w:lang w:val="zh-CN"/>
              </w:rPr>
              <w:t>16.</w:t>
            </w:r>
          </w:p>
        </w:tc>
        <w:tc>
          <w:tcPr>
            <w:tcW w:w="671" w:type="dxa"/>
          </w:tcPr>
          <w:p>
            <w:pPr>
              <w:rPr>
                <w:rFonts w:ascii="Times New Roman" w:hAnsi="Times New Roman" w:cs="Times New Roman"/>
                <w:lang w:val="zh-CN"/>
              </w:rPr>
            </w:pPr>
            <w:r>
              <w:rPr>
                <w:rFonts w:ascii="Times New Roman" w:hAnsi="Times New Roman" w:cs="Times New Roman"/>
                <w:lang w:val="zh-CN"/>
              </w:rPr>
              <w:t>16</w:t>
            </w:r>
          </w:p>
        </w:tc>
        <w:tc>
          <w:tcPr>
            <w:tcW w:w="13813" w:type="dxa"/>
            <w:gridSpan w:val="16"/>
          </w:tcPr>
          <w:p>
            <w:pPr>
              <w:jc w:val="center"/>
              <w:rPr>
                <w:rFonts w:ascii="Times New Roman" w:hAnsi="Times New Roman" w:cs="Times New Roman"/>
                <w:color w:val="000000"/>
                <w:lang w:val="zh-CN"/>
              </w:rPr>
            </w:pPr>
            <w:r>
              <w:rPr>
                <w:rFonts w:ascii="Times New Roman" w:hAnsi="Times New Roman" w:cs="Times New Roman"/>
                <w:color w:val="000000"/>
                <w:lang w:val="zh-CN"/>
              </w:rPr>
              <w:t>UAS</w:t>
            </w:r>
          </w:p>
        </w:tc>
      </w:tr>
    </w:tbl>
    <w:p>
      <w:pPr>
        <w:rPr>
          <w:rFonts w:ascii="Times New Roman" w:hAnsi="Times New Roman" w:cs="Times New Roman"/>
        </w:rPr>
      </w:pPr>
    </w:p>
    <w:p/>
    <w:p>
      <w:bookmarkStart w:id="0" w:name="_GoBack"/>
      <w:bookmarkEnd w:id="0"/>
    </w:p>
    <w:sectPr>
      <w:pgSz w:w="16838" w:h="11906" w:orient="landscape"/>
      <w:pgMar w:top="1800" w:right="1440" w:bottom="180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933767"/>
    <w:multiLevelType w:val="multilevel"/>
    <w:tmpl w:val="0F9337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5535065"/>
    <w:multiLevelType w:val="multilevel"/>
    <w:tmpl w:val="15535065"/>
    <w:lvl w:ilvl="0" w:tentative="0">
      <w:start w:val="1"/>
      <w:numFmt w:val="decimal"/>
      <w:lvlText w:val="%1."/>
      <w:lvlJc w:val="left"/>
      <w:pPr>
        <w:ind w:left="718" w:hanging="360"/>
      </w:pPr>
      <w:rPr>
        <w:rFonts w:hint="default" w:eastAsia="Times New Roman"/>
        <w:color w:val="auto"/>
      </w:rPr>
    </w:lvl>
    <w:lvl w:ilvl="1" w:tentative="0">
      <w:start w:val="1"/>
      <w:numFmt w:val="lowerLetter"/>
      <w:lvlText w:val="%2."/>
      <w:lvlJc w:val="left"/>
      <w:pPr>
        <w:ind w:left="1438" w:hanging="360"/>
      </w:pPr>
    </w:lvl>
    <w:lvl w:ilvl="2" w:tentative="0">
      <w:start w:val="1"/>
      <w:numFmt w:val="lowerRoman"/>
      <w:lvlText w:val="%3."/>
      <w:lvlJc w:val="right"/>
      <w:pPr>
        <w:ind w:left="2158" w:hanging="180"/>
      </w:pPr>
    </w:lvl>
    <w:lvl w:ilvl="3" w:tentative="0">
      <w:start w:val="1"/>
      <w:numFmt w:val="decimal"/>
      <w:lvlText w:val="%4."/>
      <w:lvlJc w:val="left"/>
      <w:pPr>
        <w:ind w:left="2878" w:hanging="360"/>
      </w:pPr>
    </w:lvl>
    <w:lvl w:ilvl="4" w:tentative="0">
      <w:start w:val="1"/>
      <w:numFmt w:val="lowerLetter"/>
      <w:lvlText w:val="%5."/>
      <w:lvlJc w:val="left"/>
      <w:pPr>
        <w:ind w:left="3598" w:hanging="360"/>
      </w:pPr>
    </w:lvl>
    <w:lvl w:ilvl="5" w:tentative="0">
      <w:start w:val="1"/>
      <w:numFmt w:val="lowerRoman"/>
      <w:lvlText w:val="%6."/>
      <w:lvlJc w:val="right"/>
      <w:pPr>
        <w:ind w:left="4318" w:hanging="180"/>
      </w:pPr>
    </w:lvl>
    <w:lvl w:ilvl="6" w:tentative="0">
      <w:start w:val="1"/>
      <w:numFmt w:val="decimal"/>
      <w:lvlText w:val="%7."/>
      <w:lvlJc w:val="left"/>
      <w:pPr>
        <w:ind w:left="5038" w:hanging="360"/>
      </w:pPr>
    </w:lvl>
    <w:lvl w:ilvl="7" w:tentative="0">
      <w:start w:val="1"/>
      <w:numFmt w:val="lowerLetter"/>
      <w:lvlText w:val="%8."/>
      <w:lvlJc w:val="left"/>
      <w:pPr>
        <w:ind w:left="5758" w:hanging="360"/>
      </w:pPr>
    </w:lvl>
    <w:lvl w:ilvl="8" w:tentative="0">
      <w:start w:val="1"/>
      <w:numFmt w:val="lowerRoman"/>
      <w:lvlText w:val="%9."/>
      <w:lvlJc w:val="right"/>
      <w:pPr>
        <w:ind w:left="6478" w:hanging="180"/>
      </w:pPr>
    </w:lvl>
  </w:abstractNum>
  <w:abstractNum w:abstractNumId="2">
    <w:nsid w:val="333712ED"/>
    <w:multiLevelType w:val="multilevel"/>
    <w:tmpl w:val="333712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F321B50"/>
    <w:multiLevelType w:val="multilevel"/>
    <w:tmpl w:val="3F321B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53E9500B"/>
    <w:multiLevelType w:val="multilevel"/>
    <w:tmpl w:val="53E950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0138E4"/>
    <w:rsid w:val="1B013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99"/>
    <w:pPr>
      <w:suppressAutoHyphens/>
      <w:spacing w:after="140" w:line="276" w:lineRule="auto"/>
    </w:pPr>
    <w:rPr>
      <w:rFonts w:cs="Times New Roman"/>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zh-CN" w:eastAsia="zh-CN"/>
    </w:rPr>
  </w:style>
  <w:style w:type="table" w:styleId="7">
    <w:name w:val="Table Grid"/>
    <w:basedOn w:val="4"/>
    <w:uiPriority w:val="39"/>
    <w:pPr>
      <w:spacing w:after="0" w:line="240" w:lineRule="auto"/>
    </w:pPr>
    <w:rPr>
      <w:lang w:val="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List Paragraph1"/>
    <w:basedOn w:val="1"/>
    <w:qFormat/>
    <w:uiPriority w:val="0"/>
    <w:pPr>
      <w:suppressAutoHyphens/>
      <w:spacing w:line="276" w:lineRule="auto"/>
      <w:ind w:left="720"/>
      <w:contextualSpacing/>
      <w:jc w:val="center"/>
    </w:pPr>
    <w:rPr>
      <w:rFonts w:cs="Times New Roman"/>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Office_11.2.0.10445_F1E327BC-269C-435d-A152-05C5408002CA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2022-03-04T01:00:00Z</dcterms:created>
  <dc:creator>WINDOWS 10</dc:creator>
  <cp:lastModifiedBy>WINDOWS 10</cp:lastModifiedBy>
  <dcterms:modified xsi:type="dcterms:W3CDTF">2022-03-04T01:53:22Z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1033-11.2.0.10445</vt:lpwstr>
  </property>
  <property fmtid="{D5CDD505-2E9C-101B-9397-08002B2CF9AE}" pid="3" name="ICV">
    <vt:lpwstr>6B66C5DBB946442EBACAD245CC5F321E</vt:lpwstr>
  </property>
</Properties>
</file>