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F330" w14:textId="77777777" w:rsidR="0077619A" w:rsidRDefault="0077619A" w:rsidP="0077619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EKUITAS</w:t>
      </w:r>
    </w:p>
    <w:p w14:paraId="21C02D6A" w14:textId="77777777" w:rsidR="0077619A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1FC5">
        <w:rPr>
          <w:rFonts w:ascii="Times New Roman" w:hAnsi="Times New Roman" w:cs="Times New Roman"/>
          <w:b/>
          <w:sz w:val="24"/>
        </w:rPr>
        <w:t>EKUITAS PEMEGANG SAHAM</w:t>
      </w:r>
    </w:p>
    <w:p w14:paraId="649AFF18" w14:textId="77777777" w:rsidR="0077619A" w:rsidRPr="005B0D27" w:rsidRDefault="0077619A" w:rsidP="0077619A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5B0D27">
        <w:rPr>
          <w:rFonts w:ascii="Times New Roman" w:eastAsia="Times New Roman" w:hAnsi="Times New Roman" w:cs="Times New Roman"/>
          <w:sz w:val="24"/>
          <w:szCs w:val="18"/>
        </w:rPr>
        <w:t>PSAK No. 21 (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Ikatan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Akuntan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Indonesia, 2002)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menyatakan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bahwa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ekuitas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proofErr w:type="gramStart"/>
      <w:r w:rsidRPr="005B0D27">
        <w:rPr>
          <w:rFonts w:ascii="Times New Roman" w:eastAsia="Times New Roman" w:hAnsi="Times New Roman" w:cs="Times New Roman"/>
          <w:sz w:val="24"/>
          <w:szCs w:val="18"/>
        </w:rPr>
        <w:t>sebagai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>  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bagian</w:t>
      </w:r>
      <w:proofErr w:type="spellEnd"/>
      <w:proofErr w:type="gram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hak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pemilik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dalam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perusahaan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harus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dilaporkan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sedemikian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rupa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sehingga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memberikan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informasi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mengenai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sumbernya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secara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jelas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dan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disajikan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sesuai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dengan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peraturan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perundangan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dan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akta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pendirian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 xml:space="preserve"> yang </w:t>
      </w:r>
      <w:proofErr w:type="spellStart"/>
      <w:r w:rsidRPr="005B0D27">
        <w:rPr>
          <w:rFonts w:ascii="Times New Roman" w:eastAsia="Times New Roman" w:hAnsi="Times New Roman" w:cs="Times New Roman"/>
          <w:sz w:val="24"/>
          <w:szCs w:val="18"/>
        </w:rPr>
        <w:t>berlaku</w:t>
      </w:r>
      <w:proofErr w:type="spellEnd"/>
      <w:r w:rsidRPr="005B0D27">
        <w:rPr>
          <w:rFonts w:ascii="Times New Roman" w:eastAsia="Times New Roman" w:hAnsi="Times New Roman" w:cs="Times New Roman"/>
          <w:sz w:val="24"/>
          <w:szCs w:val="18"/>
        </w:rPr>
        <w:t>.</w:t>
      </w:r>
    </w:p>
    <w:p w14:paraId="2939266B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tab/>
      </w:r>
      <w:r w:rsidRPr="0063172B">
        <w:rPr>
          <w:rFonts w:ascii="Times New Roman" w:hAnsi="Times New Roman" w:cs="Times New Roman"/>
          <w:sz w:val="24"/>
        </w:rPr>
        <w:t xml:space="preserve">Ada 3 </w:t>
      </w:r>
      <w:proofErr w:type="spellStart"/>
      <w:r w:rsidRPr="0063172B">
        <w:rPr>
          <w:rFonts w:ascii="Times New Roman" w:hAnsi="Times New Roman" w:cs="Times New Roman"/>
          <w:sz w:val="24"/>
        </w:rPr>
        <w:t>kategori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bagian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Ekuitas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1083A387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3172B">
        <w:rPr>
          <w:rFonts w:ascii="Times New Roman" w:hAnsi="Times New Roman" w:cs="Times New Roman"/>
          <w:sz w:val="24"/>
        </w:rPr>
        <w:t xml:space="preserve">1.  Modal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</w:p>
    <w:p w14:paraId="25251E8D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3172B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63172B">
        <w:rPr>
          <w:rFonts w:ascii="Times New Roman" w:hAnsi="Times New Roman" w:cs="Times New Roman"/>
          <w:sz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</w:p>
    <w:p w14:paraId="1C11DD05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3172B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7458BB77" w14:textId="77777777" w:rsidR="0077619A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0B1CBC58" w14:textId="77777777" w:rsidR="0077619A" w:rsidRPr="001B1FC5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B1FC5">
        <w:rPr>
          <w:rFonts w:ascii="Times New Roman" w:hAnsi="Times New Roman" w:cs="Times New Roman"/>
          <w:b/>
          <w:bCs/>
          <w:sz w:val="24"/>
        </w:rPr>
        <w:t>LABA DITAHAN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1B1FC5">
        <w:rPr>
          <w:rFonts w:ascii="Times New Roman" w:hAnsi="Times New Roman" w:cs="Times New Roman"/>
          <w:b/>
          <w:bCs/>
          <w:sz w:val="24"/>
        </w:rPr>
        <w:t>(RETAINED EARNING)</w:t>
      </w:r>
    </w:p>
    <w:p w14:paraId="68723609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Penjumlahan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tahun-tahun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sampai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sekarang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. </w:t>
      </w:r>
    </w:p>
    <w:p w14:paraId="008FEEB6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Rugi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bersih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</w:rPr>
        <w:t>koreksi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kesalahan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treasury, </w:t>
      </w:r>
      <w:proofErr w:type="spellStart"/>
      <w:r w:rsidRPr="0063172B">
        <w:rPr>
          <w:rFonts w:ascii="Times New Roman" w:hAnsi="Times New Roman" w:cs="Times New Roman"/>
          <w:sz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63172B">
        <w:rPr>
          <w:rFonts w:ascii="Times New Roman" w:hAnsi="Times New Roman" w:cs="Times New Roman"/>
          <w:sz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2CC55DC3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bersih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akibat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kuasi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reorganisasi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2AAACAAC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digunakan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aktivitas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bisnis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operasi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752DFCBD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Laporan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aktivitas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selama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0045D577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Tujuannya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menyediakan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informasi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pihak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berkepentingan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tentang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efesiensi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</w:rPr>
        <w:t>kepengurusan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manajemen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. </w:t>
      </w:r>
    </w:p>
    <w:p w14:paraId="121AD63A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3172B">
        <w:rPr>
          <w:rFonts w:ascii="Times New Roman" w:hAnsi="Times New Roman" w:cs="Times New Roman"/>
          <w:sz w:val="24"/>
        </w:rPr>
        <w:t xml:space="preserve">Serta </w:t>
      </w:r>
      <w:proofErr w:type="spellStart"/>
      <w:r w:rsidRPr="0063172B">
        <w:rPr>
          <w:rFonts w:ascii="Times New Roman" w:hAnsi="Times New Roman" w:cs="Times New Roman"/>
          <w:sz w:val="24"/>
        </w:rPr>
        <w:t>menyediakan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informasi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tentang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riwayat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</w:rPr>
        <w:t xml:space="preserve">dan  </w:t>
      </w:r>
      <w:proofErr w:type="spellStart"/>
      <w:r w:rsidRPr="0063172B">
        <w:rPr>
          <w:rFonts w:ascii="Times New Roman" w:hAnsi="Times New Roman" w:cs="Times New Roman"/>
          <w:sz w:val="24"/>
        </w:rPr>
        <w:t>prospek</w:t>
      </w:r>
      <w:proofErr w:type="spellEnd"/>
      <w:proofErr w:type="gram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pemilik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ekuitas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tanggung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jawab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yuridis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pemilik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2A99380E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Pembatasan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berdasarkan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penahanan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sejumlah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saldo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mengobservasi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</w:rPr>
        <w:t>kerja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tertentu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</w:rPr>
        <w:t>pinjaman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63172B">
        <w:rPr>
          <w:rFonts w:ascii="Times New Roman" w:hAnsi="Times New Roman" w:cs="Times New Roman"/>
          <w:sz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pertimbangan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</w:rPr>
        <w:t>.</w:t>
      </w:r>
    </w:p>
    <w:p w14:paraId="53082FC8" w14:textId="77777777" w:rsidR="0077619A" w:rsidRPr="0063172B" w:rsidRDefault="0077619A" w:rsidP="007761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3172B">
        <w:rPr>
          <w:rFonts w:ascii="Times New Roman" w:hAnsi="Times New Roman" w:cs="Times New Roman"/>
          <w:sz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menjadi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ekuitas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. </w:t>
      </w:r>
    </w:p>
    <w:p w14:paraId="7C1DEEA2" w14:textId="77777777" w:rsidR="0077619A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358BB08" w14:textId="77777777" w:rsidR="0077619A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0BF741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3172B">
        <w:rPr>
          <w:rFonts w:ascii="Times New Roman" w:hAnsi="Times New Roman" w:cs="Times New Roman"/>
          <w:sz w:val="24"/>
        </w:rPr>
        <w:lastRenderedPageBreak/>
        <w:t xml:space="preserve">Cara </w:t>
      </w:r>
      <w:proofErr w:type="spellStart"/>
      <w:r w:rsidRPr="0063172B">
        <w:rPr>
          <w:rFonts w:ascii="Times New Roman" w:hAnsi="Times New Roman" w:cs="Times New Roman"/>
          <w:sz w:val="24"/>
        </w:rPr>
        <w:t>Perhitungan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: </w:t>
      </w:r>
    </w:p>
    <w:p w14:paraId="4C1927D1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3172B">
        <w:rPr>
          <w:rFonts w:ascii="Times New Roman" w:hAnsi="Times New Roman" w:cs="Times New Roman"/>
          <w:sz w:val="28"/>
        </w:rPr>
        <w:tab/>
      </w:r>
      <w:r w:rsidRPr="0063172B">
        <w:rPr>
          <w:rFonts w:ascii="Times New Roman" w:hAnsi="Times New Roman" w:cs="Times New Roman"/>
          <w:sz w:val="24"/>
        </w:rPr>
        <w:t xml:space="preserve">Formula </w:t>
      </w:r>
      <w:proofErr w:type="spellStart"/>
      <w:r w:rsidRPr="0063172B">
        <w:rPr>
          <w:rFonts w:ascii="Times New Roman" w:hAnsi="Times New Roman" w:cs="Times New Roman"/>
          <w:sz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</w:rPr>
        <w:t xml:space="preserve"> </w:t>
      </w:r>
    </w:p>
    <w:p w14:paraId="7C196765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75A09229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:</w:t>
      </w:r>
    </w:p>
    <w:p w14:paraId="2C14347E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1E2E9A85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ditahan,saldo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7CEAA47F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0B5A794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63EAB3F4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xxx</w:t>
      </w:r>
    </w:p>
    <w:p w14:paraId="3E0673A7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188FA99C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5A6A7447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TS  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xxx</w:t>
      </w:r>
    </w:p>
    <w:p w14:paraId="40FBA0E2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Penyisihanlaba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1057D6D2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Akhir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14D8EC2A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0E8D1BC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C30844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B20F2EA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A13EF86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D8AC8A" w14:textId="77777777" w:rsidR="0077619A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600132" w14:textId="77777777" w:rsidR="0077619A" w:rsidRPr="0063172B" w:rsidRDefault="0077619A" w:rsidP="0077619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61ADDEB" w14:textId="77777777" w:rsidR="0077619A" w:rsidRPr="0063172B" w:rsidRDefault="0077619A" w:rsidP="007761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b/>
          <w:bCs/>
          <w:sz w:val="24"/>
          <w:szCs w:val="24"/>
        </w:rPr>
        <w:lastRenderedPageBreak/>
        <w:t>KEBIJAKAN DEVIDEN</w:t>
      </w:r>
    </w:p>
    <w:p w14:paraId="1FC03280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B5E1FD5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Sangat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legal.</w:t>
      </w:r>
    </w:p>
    <w:p w14:paraId="54F80538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Salah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9ED2330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obligasi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proteksi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96BCD38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mensyaratkan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ekuivalen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treasury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dibeli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7AC9C96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ekspansi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direinvestasi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3FFE5A9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A3C98" w14:textId="77777777" w:rsidR="0077619A" w:rsidRPr="0063172B" w:rsidRDefault="0077619A" w:rsidP="007761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kalkulasi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34F8A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365F1D14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Salah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9EB47BA" w14:textId="77777777" w:rsidR="0077619A" w:rsidRPr="0063172B" w:rsidRDefault="0077619A" w:rsidP="007761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BA501" w14:textId="77777777" w:rsidR="0077619A" w:rsidRPr="0063172B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6F65E9B5" w14:textId="77777777" w:rsidR="0077619A" w:rsidRPr="0063172B" w:rsidRDefault="0077619A" w:rsidP="007761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3B67F" w14:textId="77777777" w:rsidR="0077619A" w:rsidRPr="0063172B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Salah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kas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lastRenderedPageBreak/>
        <w:t>likuiditas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3CF5C8" w14:textId="77777777" w:rsidR="0077619A" w:rsidRPr="0063172B" w:rsidRDefault="0077619A" w:rsidP="007761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DFD15" w14:textId="77777777" w:rsidR="0077619A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CD2D92E" w14:textId="77777777" w:rsidR="0077619A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FE2AFA6" w14:textId="77777777" w:rsidR="0077619A" w:rsidRPr="0063172B" w:rsidRDefault="0077619A" w:rsidP="0077619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679498B" w14:textId="77777777" w:rsidR="0077619A" w:rsidRPr="00A607D3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B101B4">
        <w:rPr>
          <w:rFonts w:ascii="Times New Roman" w:hAnsi="Times New Roman" w:cs="Times New Roman"/>
          <w:b/>
          <w:sz w:val="24"/>
        </w:rPr>
        <w:t>DIVIDEN</w:t>
      </w:r>
    </w:p>
    <w:p w14:paraId="26075C53" w14:textId="77777777" w:rsidR="0077619A" w:rsidRPr="0063172B" w:rsidRDefault="0077619A" w:rsidP="007761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36D9554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65B55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4EA9EF9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67E1A127" w14:textId="77777777" w:rsidR="0077619A" w:rsidRPr="0063172B" w:rsidRDefault="0077619A" w:rsidP="0077619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55F0482F" w14:textId="77777777" w:rsidR="0077619A" w:rsidRPr="0063172B" w:rsidRDefault="0077619A" w:rsidP="007761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E0E05F1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akumulasi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pos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Harapan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i/>
          <w:sz w:val="24"/>
          <w:szCs w:val="24"/>
        </w:rPr>
        <w:t>likuidasi</w:t>
      </w:r>
      <w:proofErr w:type="spellEnd"/>
      <w:r w:rsidRPr="0063172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3172B">
        <w:rPr>
          <w:rFonts w:ascii="Times New Roman" w:hAnsi="Times New Roman" w:cs="Times New Roman"/>
          <w:sz w:val="24"/>
          <w:szCs w:val="24"/>
        </w:rPr>
        <w:t xml:space="preserve">liquidating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memo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sumbernya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B06EAB4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6FAD8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Dewan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r w:rsidRPr="0063172B">
        <w:rPr>
          <w:rFonts w:ascii="Times New Roman" w:hAnsi="Times New Roman" w:cs="Times New Roman"/>
          <w:i/>
          <w:sz w:val="24"/>
          <w:szCs w:val="24"/>
        </w:rPr>
        <w:t>cash dividend</w:t>
      </w:r>
      <w:proofErr w:type="gramStart"/>
      <w:r w:rsidRPr="0063172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317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,  daftar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20943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lastRenderedPageBreak/>
        <w:t>Suatu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pengeluarannya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391A0C2F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22D6F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kas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,  real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estat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dirancng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oleh dewan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5C44D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      Ketika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diumukan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8BB08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Skrip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BDB73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kas,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membayarnya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EB7CD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Likuidasi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E0058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disetor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,  dan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likuidasi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03E1C" w14:textId="77777777" w:rsidR="0077619A" w:rsidRPr="0063172B" w:rsidRDefault="0077619A" w:rsidP="0077619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63172B">
        <w:rPr>
          <w:rFonts w:ascii="Times New Roman" w:hAnsi="Times New Roman" w:cs="Times New Roman"/>
          <w:sz w:val="24"/>
          <w:szCs w:val="24"/>
        </w:rPr>
        <w:t xml:space="preserve">aham </w:t>
      </w:r>
    </w:p>
    <w:p w14:paraId="2D9B81AE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41CAAAF4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i/>
          <w:iCs/>
          <w:sz w:val="24"/>
          <w:szCs w:val="24"/>
        </w:rPr>
        <w:t>stock split</w:t>
      </w:r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kapitalisasi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pasar.</w:t>
      </w:r>
    </w:p>
    <w:p w14:paraId="170D3C11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C62174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E51B4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15C41" w14:textId="77777777" w:rsidR="0077619A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CF8BC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Ayat </w:t>
      </w:r>
      <w:proofErr w:type="spellStart"/>
      <w:proofErr w:type="gramStart"/>
      <w:r w:rsidRPr="0063172B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192F3D4F" w14:textId="77777777" w:rsidR="0077619A" w:rsidRPr="0063172B" w:rsidRDefault="0077619A" w:rsidP="007761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4FC0AA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29EFFBE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 - CS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68C5E886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>-  PS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0B7647FB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53B41FDB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036ECD3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16283372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Kas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1F4A5942" w14:textId="77777777" w:rsidR="0077619A" w:rsidRPr="0063172B" w:rsidRDefault="0077619A" w:rsidP="007761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4EFF57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BA64F39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263A1467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xxx </w:t>
      </w:r>
    </w:p>
    <w:p w14:paraId="1D2D83F8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62C7EAF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Properti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2404E541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xxx </w:t>
      </w:r>
    </w:p>
    <w:p w14:paraId="6ADBB4D2" w14:textId="77777777" w:rsidR="0077619A" w:rsidRPr="0063172B" w:rsidRDefault="0077619A" w:rsidP="007761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172B">
        <w:rPr>
          <w:rFonts w:ascii="Times New Roman" w:hAnsi="Times New Roman" w:cs="Times New Roman"/>
          <w:b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b/>
          <w:sz w:val="24"/>
          <w:szCs w:val="24"/>
        </w:rPr>
        <w:t xml:space="preserve"> Saham </w:t>
      </w:r>
    </w:p>
    <w:p w14:paraId="09B4BDB3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diumumkan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5DE3498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6894B0BD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Distributable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2B4D36E0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C3EFEA6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distributable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27BC06E4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xxx</w:t>
      </w:r>
    </w:p>
    <w:p w14:paraId="73611179" w14:textId="77777777" w:rsidR="0077619A" w:rsidRPr="0063172B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72B">
        <w:rPr>
          <w:rFonts w:ascii="Times New Roman" w:hAnsi="Times New Roman" w:cs="Times New Roman"/>
          <w:b/>
          <w:sz w:val="24"/>
          <w:szCs w:val="24"/>
        </w:rPr>
        <w:t>PEMECAHAN SAHAM (STOCK SPLITS)</w:t>
      </w:r>
    </w:p>
    <w:p w14:paraId="6DE83515" w14:textId="77777777" w:rsidR="0077619A" w:rsidRPr="0063172B" w:rsidRDefault="0077619A" w:rsidP="0077619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04956A7" w14:textId="77777777" w:rsidR="0077619A" w:rsidRPr="0063172B" w:rsidRDefault="0077619A" w:rsidP="0077619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pasar per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188DE710" w14:textId="77777777" w:rsidR="0077619A" w:rsidRPr="0063172B" w:rsidRDefault="0077619A" w:rsidP="0077619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>unit :</w:t>
      </w:r>
      <w:proofErr w:type="gramEnd"/>
    </w:p>
    <w:p w14:paraId="16E6129B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Splits:</w:t>
      </w:r>
    </w:p>
    <w:p w14:paraId="13647239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x Rp.100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RP.100.000</w:t>
      </w:r>
    </w:p>
    <w:p w14:paraId="0F7EBD4C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Rp.50.000</w:t>
      </w:r>
    </w:p>
    <w:p w14:paraId="0C30C850" w14:textId="77777777" w:rsidR="0077619A" w:rsidRPr="0063172B" w:rsidRDefault="0077619A" w:rsidP="007761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Rp.150.000</w:t>
      </w:r>
    </w:p>
    <w:p w14:paraId="46815778" w14:textId="77777777" w:rsidR="0077619A" w:rsidRPr="0063172B" w:rsidRDefault="0077619A" w:rsidP="0077619A">
      <w:pPr>
        <w:spacing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 </w:t>
      </w:r>
    </w:p>
    <w:p w14:paraId="6B0581A5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Rp.50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Rp.100.000</w:t>
      </w:r>
    </w:p>
    <w:p w14:paraId="4D4B8E4D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Rp.  50.000</w:t>
      </w:r>
    </w:p>
    <w:p w14:paraId="669F0772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Rp.150.000</w:t>
      </w:r>
    </w:p>
    <w:p w14:paraId="7DED9AB2" w14:textId="77777777" w:rsidR="0077619A" w:rsidRPr="0063172B" w:rsidRDefault="0077619A" w:rsidP="0077619A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VS Stock Splits:</w:t>
      </w:r>
    </w:p>
    <w:p w14:paraId="1F54894A" w14:textId="77777777" w:rsidR="0077619A" w:rsidRPr="0063172B" w:rsidRDefault="0077619A" w:rsidP="0077619A">
      <w:pPr>
        <w:pStyle w:val="ListParagraph"/>
        <w:numPr>
          <w:ilvl w:val="0"/>
          <w:numId w:val="7"/>
        </w:numPr>
        <w:tabs>
          <w:tab w:val="clear" w:pos="720"/>
          <w:tab w:val="num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923A1A5" w14:textId="77777777" w:rsidR="0077619A" w:rsidRPr="0063172B" w:rsidRDefault="0077619A" w:rsidP="0077619A">
      <w:pPr>
        <w:pStyle w:val="ListParagraph"/>
        <w:numPr>
          <w:ilvl w:val="0"/>
          <w:numId w:val="7"/>
        </w:numPr>
        <w:tabs>
          <w:tab w:val="clear" w:pos="720"/>
          <w:tab w:val="num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pasar per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36FCEE8A" w14:textId="77777777" w:rsidR="0077619A" w:rsidRPr="0063172B" w:rsidRDefault="0077619A" w:rsidP="0077619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2057F56F" w14:textId="77777777" w:rsidR="0077619A" w:rsidRPr="005B0D27" w:rsidRDefault="0077619A" w:rsidP="0077619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stock Splits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digolongkan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r w:rsidRPr="0063172B">
        <w:rPr>
          <w:rFonts w:ascii="Times New Roman" w:hAnsi="Times New Roman" w:cs="Times New Roman"/>
          <w:i/>
          <w:iCs/>
          <w:sz w:val="24"/>
          <w:szCs w:val="24"/>
        </w:rPr>
        <w:t xml:space="preserve">stock </w:t>
      </w:r>
      <w:proofErr w:type="spellStart"/>
      <w:r w:rsidRPr="0063172B">
        <w:rPr>
          <w:rFonts w:ascii="Times New Roman" w:hAnsi="Times New Roman" w:cs="Times New Roman"/>
          <w:i/>
          <w:iCs/>
          <w:sz w:val="24"/>
          <w:szCs w:val="24"/>
        </w:rPr>
        <w:t>deviden</w:t>
      </w:r>
      <w:proofErr w:type="spellEnd"/>
      <w:r w:rsidRPr="006317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6F59DF" w14:textId="77777777" w:rsidR="0077619A" w:rsidRPr="0077619A" w:rsidRDefault="0077619A" w:rsidP="007761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7A2D7" w14:textId="77777777" w:rsidR="0077619A" w:rsidRPr="0063172B" w:rsidRDefault="0077619A" w:rsidP="007761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F0259" w14:textId="77777777" w:rsidR="0077619A" w:rsidRPr="0063172B" w:rsidRDefault="0077619A" w:rsidP="0077619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72B">
        <w:rPr>
          <w:rFonts w:ascii="Times New Roman" w:hAnsi="Times New Roman" w:cs="Times New Roman"/>
          <w:b/>
          <w:sz w:val="24"/>
          <w:szCs w:val="24"/>
        </w:rPr>
        <w:t>SAHAM PREFEREN</w:t>
      </w:r>
    </w:p>
    <w:p w14:paraId="0F59EE12" w14:textId="77777777" w:rsidR="0077619A" w:rsidRPr="0063172B" w:rsidRDefault="0077619A" w:rsidP="007761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080EE4EF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dana cash flow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3E7167BC" w14:textId="77777777" w:rsidR="0077619A" w:rsidRPr="0063172B" w:rsidRDefault="0077619A" w:rsidP="007761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1FA57901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  <w:t xml:space="preserve">Dimana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A1FEFCF" w14:textId="77777777" w:rsidR="0077619A" w:rsidRPr="0063172B" w:rsidRDefault="0077619A" w:rsidP="0077619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FA6E0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2F1AE92" w14:textId="77777777" w:rsidR="0077619A" w:rsidRPr="0063172B" w:rsidRDefault="0077619A" w:rsidP="007761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31704" w14:textId="77777777" w:rsidR="0077619A" w:rsidRPr="0063172B" w:rsidRDefault="0077619A" w:rsidP="0077619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6D796" w14:textId="77777777" w:rsidR="0077619A" w:rsidRPr="0063172B" w:rsidRDefault="0077619A" w:rsidP="007761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559954E1" w14:textId="77777777" w:rsidR="0077619A" w:rsidRPr="0063172B" w:rsidRDefault="0077619A" w:rsidP="007761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</w:p>
    <w:p w14:paraId="765A2F33" w14:textId="77777777" w:rsidR="0077619A" w:rsidRPr="0063172B" w:rsidRDefault="0077619A" w:rsidP="0077619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Saham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1B434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:</w:t>
      </w:r>
    </w:p>
    <w:p w14:paraId="13FB38B0" w14:textId="77777777" w:rsidR="0077619A" w:rsidRPr="0063172B" w:rsidRDefault="0077619A" w:rsidP="0077619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$50,000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$400.000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$100.000.</w:t>
      </w:r>
    </w:p>
    <w:p w14:paraId="27BA6CEA" w14:textId="77777777" w:rsidR="0077619A" w:rsidRPr="0063172B" w:rsidRDefault="0077619A" w:rsidP="007761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non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proofErr w:type="gramEnd"/>
      <w:r w:rsidRPr="0063172B">
        <w:rPr>
          <w:rFonts w:ascii="Times New Roman" w:hAnsi="Times New Roman" w:cs="Times New Roman"/>
          <w:sz w:val="24"/>
          <w:szCs w:val="24"/>
        </w:rPr>
        <w:t>.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35F11098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Total</w:t>
      </w:r>
    </w:p>
    <w:p w14:paraId="7C166AE9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ab/>
        <w:t xml:space="preserve">  $</w:t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>6000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  6000</w:t>
      </w:r>
    </w:p>
    <w:p w14:paraId="031068BB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172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$44.000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$44.000</w:t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$50.000</w:t>
      </w:r>
    </w:p>
    <w:p w14:paraId="278E799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FDC7845" w14:textId="77777777" w:rsidR="0077619A" w:rsidRPr="0063172B" w:rsidRDefault="0077619A" w:rsidP="007761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67FEBFB0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Total</w:t>
      </w:r>
    </w:p>
    <w:p w14:paraId="330CADDC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lastRenderedPageBreak/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dimuka,6%dr $100.000 u/2thn $12.000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$12.000</w:t>
      </w:r>
    </w:p>
    <w:p w14:paraId="0876B27B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ini,6%dr $100.000</w:t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$6.000       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$6.000</w:t>
      </w:r>
    </w:p>
    <w:p w14:paraId="4CA9DF31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pd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5B0D27">
        <w:rPr>
          <w:rFonts w:ascii="Times New Roman" w:hAnsi="Times New Roman" w:cs="Times New Roman"/>
          <w:sz w:val="24"/>
          <w:szCs w:val="24"/>
          <w:u w:val="single"/>
        </w:rPr>
        <w:t>$32.000</w:t>
      </w:r>
      <w:r>
        <w:rPr>
          <w:rFonts w:ascii="Times New Roman" w:hAnsi="Times New Roman" w:cs="Times New Roman"/>
          <w:sz w:val="24"/>
          <w:szCs w:val="24"/>
        </w:rPr>
        <w:tab/>
      </w:r>
      <w:r w:rsidRPr="005B0D27">
        <w:rPr>
          <w:rFonts w:ascii="Times New Roman" w:hAnsi="Times New Roman" w:cs="Times New Roman"/>
          <w:sz w:val="24"/>
          <w:szCs w:val="24"/>
          <w:u w:val="single"/>
        </w:rPr>
        <w:t>$32.000</w:t>
      </w:r>
    </w:p>
    <w:p w14:paraId="2BE431B8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$18.000 </w:t>
      </w:r>
      <w:r w:rsidRPr="0063172B">
        <w:rPr>
          <w:rFonts w:ascii="Times New Roman" w:hAnsi="Times New Roman" w:cs="Times New Roman"/>
          <w:sz w:val="24"/>
          <w:szCs w:val="24"/>
        </w:rPr>
        <w:tab/>
        <w:t>$32.</w:t>
      </w:r>
      <w:proofErr w:type="gramStart"/>
      <w:r w:rsidRPr="0063172B">
        <w:rPr>
          <w:rFonts w:ascii="Times New Roman" w:hAnsi="Times New Roman" w:cs="Times New Roman"/>
          <w:sz w:val="24"/>
          <w:szCs w:val="24"/>
        </w:rPr>
        <w:t xml:space="preserve">000 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3172B">
        <w:rPr>
          <w:rFonts w:ascii="Times New Roman" w:hAnsi="Times New Roman" w:cs="Times New Roman"/>
          <w:sz w:val="24"/>
          <w:szCs w:val="24"/>
        </w:rPr>
        <w:t>$50.000</w:t>
      </w:r>
    </w:p>
    <w:p w14:paraId="6C542E4B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480D3E7" w14:textId="77777777" w:rsidR="0077619A" w:rsidRPr="0063172B" w:rsidRDefault="0077619A" w:rsidP="007761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komulatif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>.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0D4E2B0C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Preferen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Total</w:t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0AD63504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ini,6%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$6000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$24.000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$30.000</w:t>
      </w:r>
    </w:p>
    <w:p w14:paraId="56BCA322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4%           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 xml:space="preserve"> $4000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$16.000</w:t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$20.000</w:t>
      </w:r>
    </w:p>
    <w:p w14:paraId="1DCB3089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Total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$10.000        </w:t>
      </w:r>
      <w:r w:rsidRPr="0063172B">
        <w:rPr>
          <w:rFonts w:ascii="Times New Roman" w:hAnsi="Times New Roman" w:cs="Times New Roman"/>
          <w:sz w:val="24"/>
          <w:szCs w:val="24"/>
        </w:rPr>
        <w:tab/>
        <w:t xml:space="preserve"> $40.000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$50.000</w:t>
      </w:r>
    </w:p>
    <w:p w14:paraId="1711C1CD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F449AA2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thn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1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5ED056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Preferen,6%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= $6.000</w:t>
      </w:r>
    </w:p>
    <w:p w14:paraId="10F618D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Biasa,6%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$400.000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=</w:t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$24.000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</w:p>
    <w:p w14:paraId="4C24B033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$30.000</w:t>
      </w:r>
    </w:p>
    <w:p w14:paraId="36886D2B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0DFE4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($50.000 - $30.000)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$20.000</w:t>
      </w:r>
    </w:p>
    <w:p w14:paraId="2A29FC6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5D032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($100.000 + $400.000)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  <w:t>$500.000</w:t>
      </w:r>
    </w:p>
    <w:p w14:paraId="6AD0C589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6FB86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>($20.000 / $500.000)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4%</w:t>
      </w:r>
    </w:p>
    <w:p w14:paraId="665C2D1A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93B2E16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Preferen,4%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$100.000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$ 4.000</w:t>
      </w:r>
    </w:p>
    <w:p w14:paraId="6E63F48E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172B">
        <w:rPr>
          <w:rFonts w:ascii="Times New Roman" w:hAnsi="Times New Roman" w:cs="Times New Roman"/>
          <w:sz w:val="24"/>
          <w:szCs w:val="24"/>
        </w:rPr>
        <w:t xml:space="preserve">Biasa,4% </w:t>
      </w:r>
      <w:proofErr w:type="spellStart"/>
      <w:r w:rsidRPr="0063172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3172B">
        <w:rPr>
          <w:rFonts w:ascii="Times New Roman" w:hAnsi="Times New Roman" w:cs="Times New Roman"/>
          <w:sz w:val="24"/>
          <w:szCs w:val="24"/>
        </w:rPr>
        <w:t xml:space="preserve"> $ 400.000</w:t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  <w:u w:val="single"/>
        </w:rPr>
        <w:t>$16.000</w:t>
      </w:r>
    </w:p>
    <w:p w14:paraId="0BA9E174" w14:textId="77777777" w:rsidR="0077619A" w:rsidRPr="0063172B" w:rsidRDefault="0077619A" w:rsidP="0077619A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172B">
        <w:rPr>
          <w:rFonts w:ascii="Times New Roman" w:hAnsi="Times New Roman" w:cs="Times New Roman"/>
          <w:sz w:val="24"/>
          <w:szCs w:val="24"/>
        </w:rPr>
        <w:t>$20.000</w:t>
      </w:r>
    </w:p>
    <w:p w14:paraId="0F3AC7FB" w14:textId="77777777" w:rsidR="002C327F" w:rsidRDefault="002C327F"/>
    <w:sectPr w:rsidR="002C3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034"/>
    <w:multiLevelType w:val="hybridMultilevel"/>
    <w:tmpl w:val="C7F6D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45342"/>
    <w:multiLevelType w:val="hybridMultilevel"/>
    <w:tmpl w:val="18FCEB68"/>
    <w:lvl w:ilvl="0" w:tplc="DC1CB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C6AD9"/>
    <w:multiLevelType w:val="hybridMultilevel"/>
    <w:tmpl w:val="7B90E23A"/>
    <w:lvl w:ilvl="0" w:tplc="457E4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352424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083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404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E4E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2A82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68F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C7E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20B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29F"/>
    <w:multiLevelType w:val="hybridMultilevel"/>
    <w:tmpl w:val="92240436"/>
    <w:lvl w:ilvl="0" w:tplc="CA689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C7A7D"/>
    <w:multiLevelType w:val="hybridMultilevel"/>
    <w:tmpl w:val="D5747306"/>
    <w:lvl w:ilvl="0" w:tplc="F64C7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4283D"/>
    <w:multiLevelType w:val="hybridMultilevel"/>
    <w:tmpl w:val="56069AE0"/>
    <w:lvl w:ilvl="0" w:tplc="0D048EA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927D5"/>
    <w:multiLevelType w:val="hybridMultilevel"/>
    <w:tmpl w:val="D5CEC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342DA1"/>
    <w:multiLevelType w:val="hybridMultilevel"/>
    <w:tmpl w:val="CC9892AA"/>
    <w:lvl w:ilvl="0" w:tplc="0E96FA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B21B0"/>
    <w:multiLevelType w:val="hybridMultilevel"/>
    <w:tmpl w:val="7F788D84"/>
    <w:lvl w:ilvl="0" w:tplc="79808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34AB9"/>
    <w:multiLevelType w:val="hybridMultilevel"/>
    <w:tmpl w:val="F1109202"/>
    <w:lvl w:ilvl="0" w:tplc="FB0228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12E77"/>
    <w:multiLevelType w:val="hybridMultilevel"/>
    <w:tmpl w:val="2D54456E"/>
    <w:lvl w:ilvl="0" w:tplc="2B4679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295ADD"/>
    <w:multiLevelType w:val="hybridMultilevel"/>
    <w:tmpl w:val="149E3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7844D6"/>
    <w:multiLevelType w:val="hybridMultilevel"/>
    <w:tmpl w:val="6D7A788E"/>
    <w:lvl w:ilvl="0" w:tplc="4EDE0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CED2C3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B0D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6B7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0D2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C21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218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0E9B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2AA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50AB"/>
    <w:multiLevelType w:val="hybridMultilevel"/>
    <w:tmpl w:val="4E707448"/>
    <w:lvl w:ilvl="0" w:tplc="85860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46A25"/>
    <w:multiLevelType w:val="hybridMultilevel"/>
    <w:tmpl w:val="5BEE1B2E"/>
    <w:lvl w:ilvl="0" w:tplc="34AE460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7641212">
    <w:abstractNumId w:val="12"/>
  </w:num>
  <w:num w:numId="2" w16cid:durableId="1585995326">
    <w:abstractNumId w:val="5"/>
  </w:num>
  <w:num w:numId="3" w16cid:durableId="270867667">
    <w:abstractNumId w:val="13"/>
  </w:num>
  <w:num w:numId="4" w16cid:durableId="1759205676">
    <w:abstractNumId w:val="11"/>
  </w:num>
  <w:num w:numId="5" w16cid:durableId="1988509177">
    <w:abstractNumId w:val="1"/>
  </w:num>
  <w:num w:numId="6" w16cid:durableId="241373738">
    <w:abstractNumId w:val="7"/>
  </w:num>
  <w:num w:numId="7" w16cid:durableId="88741768">
    <w:abstractNumId w:val="2"/>
  </w:num>
  <w:num w:numId="8" w16cid:durableId="624652718">
    <w:abstractNumId w:val="0"/>
  </w:num>
  <w:num w:numId="9" w16cid:durableId="352658619">
    <w:abstractNumId w:val="3"/>
  </w:num>
  <w:num w:numId="10" w16cid:durableId="1843200224">
    <w:abstractNumId w:val="9"/>
  </w:num>
  <w:num w:numId="11" w16cid:durableId="564100103">
    <w:abstractNumId w:val="6"/>
  </w:num>
  <w:num w:numId="12" w16cid:durableId="32459849">
    <w:abstractNumId w:val="14"/>
  </w:num>
  <w:num w:numId="13" w16cid:durableId="460464249">
    <w:abstractNumId w:val="8"/>
  </w:num>
  <w:num w:numId="14" w16cid:durableId="914432286">
    <w:abstractNumId w:val="4"/>
  </w:num>
  <w:num w:numId="15" w16cid:durableId="877931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9A"/>
    <w:rsid w:val="002C327F"/>
    <w:rsid w:val="0077619A"/>
    <w:rsid w:val="00DA44CB"/>
    <w:rsid w:val="00E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D474"/>
  <w15:chartTrackingRefBased/>
  <w15:docId w15:val="{EC4657FA-F7F2-4C55-8A8B-3883075A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hrd@iwk.co.id</cp:lastModifiedBy>
  <cp:revision>2</cp:revision>
  <dcterms:created xsi:type="dcterms:W3CDTF">2022-07-20T01:14:00Z</dcterms:created>
  <dcterms:modified xsi:type="dcterms:W3CDTF">2022-07-20T01:14:00Z</dcterms:modified>
</cp:coreProperties>
</file>